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F58D" w14:textId="77777777" w:rsidR="00E32D5B" w:rsidRPr="00BF6530" w:rsidRDefault="00306DD4" w:rsidP="00E32D5B">
      <w:pPr>
        <w:rPr>
          <w:rFonts w:ascii="Arial" w:hAnsi="Arial" w:cs="Arial"/>
          <w:b/>
          <w:sz w:val="28"/>
          <w:szCs w:val="28"/>
        </w:rPr>
      </w:pPr>
      <w:r>
        <w:rPr>
          <w:rFonts w:ascii="Arial" w:hAnsi="Arial" w:cs="Arial"/>
          <w:b/>
          <w:sz w:val="28"/>
          <w:szCs w:val="28"/>
        </w:rPr>
        <w:t>Update on the work programme</w:t>
      </w:r>
    </w:p>
    <w:p w14:paraId="02E4F58E" w14:textId="77777777" w:rsidR="00340A89" w:rsidRPr="00A712B1" w:rsidRDefault="00340A89" w:rsidP="00E32D5B">
      <w:pPr>
        <w:rPr>
          <w:rFonts w:ascii="Arial" w:hAnsi="Arial" w:cs="Arial"/>
          <w:sz w:val="22"/>
          <w:szCs w:val="22"/>
        </w:rPr>
      </w:pPr>
    </w:p>
    <w:p w14:paraId="02E4F58F" w14:textId="77777777" w:rsidR="00BF6530" w:rsidRDefault="00BF6530" w:rsidP="00E32D5B">
      <w:pPr>
        <w:rPr>
          <w:rFonts w:ascii="Arial" w:hAnsi="Arial" w:cs="Arial"/>
          <w:b/>
          <w:sz w:val="22"/>
          <w:szCs w:val="22"/>
        </w:rPr>
      </w:pPr>
      <w:r>
        <w:rPr>
          <w:rFonts w:ascii="Arial" w:hAnsi="Arial" w:cs="Arial"/>
          <w:b/>
          <w:sz w:val="22"/>
          <w:szCs w:val="22"/>
        </w:rPr>
        <w:t>Purpose of report</w:t>
      </w:r>
    </w:p>
    <w:p w14:paraId="02E4F590" w14:textId="77777777" w:rsidR="00BF6530" w:rsidRDefault="00BF6530" w:rsidP="00E32D5B">
      <w:pPr>
        <w:rPr>
          <w:rFonts w:ascii="Arial" w:hAnsi="Arial" w:cs="Arial"/>
          <w:b/>
          <w:sz w:val="22"/>
          <w:szCs w:val="22"/>
        </w:rPr>
      </w:pPr>
    </w:p>
    <w:p w14:paraId="02E4F591" w14:textId="77777777" w:rsidR="00BF6530" w:rsidRPr="00BF6530" w:rsidRDefault="00BF6530" w:rsidP="00E32D5B">
      <w:pPr>
        <w:rPr>
          <w:rFonts w:ascii="Arial" w:hAnsi="Arial" w:cs="Arial"/>
          <w:sz w:val="22"/>
          <w:szCs w:val="22"/>
        </w:rPr>
      </w:pPr>
      <w:proofErr w:type="gramStart"/>
      <w:r w:rsidRPr="00BF6530">
        <w:rPr>
          <w:rFonts w:ascii="Arial" w:hAnsi="Arial" w:cs="Arial"/>
          <w:sz w:val="22"/>
          <w:szCs w:val="22"/>
        </w:rPr>
        <w:t>For discussion.</w:t>
      </w:r>
      <w:proofErr w:type="gramEnd"/>
    </w:p>
    <w:p w14:paraId="02E4F592" w14:textId="77777777" w:rsidR="00BF6530" w:rsidRDefault="00BF6530" w:rsidP="00E32D5B">
      <w:pPr>
        <w:rPr>
          <w:rFonts w:ascii="Arial" w:hAnsi="Arial" w:cs="Arial"/>
          <w:b/>
          <w:sz w:val="22"/>
          <w:szCs w:val="22"/>
        </w:rPr>
      </w:pPr>
    </w:p>
    <w:p w14:paraId="02E4F593" w14:textId="77777777" w:rsidR="00BF0369" w:rsidRDefault="00BF6530" w:rsidP="00E32D5B">
      <w:pPr>
        <w:rPr>
          <w:rFonts w:ascii="Arial" w:hAnsi="Arial" w:cs="Arial"/>
          <w:b/>
          <w:sz w:val="22"/>
          <w:szCs w:val="22"/>
        </w:rPr>
      </w:pPr>
      <w:r>
        <w:rPr>
          <w:rFonts w:ascii="Arial" w:hAnsi="Arial" w:cs="Arial"/>
          <w:b/>
          <w:sz w:val="22"/>
          <w:szCs w:val="22"/>
        </w:rPr>
        <w:t>Summary</w:t>
      </w:r>
    </w:p>
    <w:p w14:paraId="02E4F594" w14:textId="77777777" w:rsidR="00BF6530" w:rsidRPr="00A712B1" w:rsidRDefault="00BF6530" w:rsidP="00E32D5B">
      <w:pPr>
        <w:rPr>
          <w:rFonts w:ascii="Arial" w:hAnsi="Arial" w:cs="Arial"/>
          <w:b/>
          <w:sz w:val="22"/>
          <w:szCs w:val="22"/>
        </w:rPr>
      </w:pPr>
    </w:p>
    <w:p w14:paraId="02E4F595" w14:textId="77777777" w:rsidR="00E32D5B" w:rsidRPr="00A712B1" w:rsidRDefault="00306DD4" w:rsidP="00306DD4">
      <w:pPr>
        <w:rPr>
          <w:rFonts w:ascii="Arial" w:hAnsi="Arial" w:cs="Arial"/>
          <w:sz w:val="22"/>
          <w:szCs w:val="22"/>
        </w:rPr>
      </w:pPr>
      <w:r>
        <w:rPr>
          <w:rFonts w:ascii="Arial" w:hAnsi="Arial" w:cs="Arial"/>
          <w:sz w:val="22"/>
          <w:szCs w:val="22"/>
        </w:rPr>
        <w:t>The paper sets out t</w:t>
      </w:r>
      <w:r w:rsidR="00E32D5B" w:rsidRPr="00A712B1">
        <w:rPr>
          <w:rFonts w:ascii="Arial" w:hAnsi="Arial" w:cs="Arial"/>
          <w:sz w:val="22"/>
          <w:szCs w:val="22"/>
        </w:rPr>
        <w:t xml:space="preserve">he progress that has been made to date on </w:t>
      </w:r>
      <w:r>
        <w:rPr>
          <w:rFonts w:ascii="Arial" w:hAnsi="Arial" w:cs="Arial"/>
          <w:sz w:val="22"/>
          <w:szCs w:val="22"/>
        </w:rPr>
        <w:t xml:space="preserve">the </w:t>
      </w:r>
      <w:r w:rsidR="00E32D5B" w:rsidRPr="00A712B1">
        <w:rPr>
          <w:rFonts w:ascii="Arial" w:hAnsi="Arial" w:cs="Arial"/>
          <w:sz w:val="22"/>
          <w:szCs w:val="22"/>
        </w:rPr>
        <w:t>w</w:t>
      </w:r>
      <w:r>
        <w:rPr>
          <w:rFonts w:ascii="Arial" w:hAnsi="Arial" w:cs="Arial"/>
          <w:sz w:val="22"/>
          <w:szCs w:val="22"/>
        </w:rPr>
        <w:t>ork priorities agreed in April</w:t>
      </w:r>
      <w:r w:rsidR="00000AA6">
        <w:rPr>
          <w:rFonts w:ascii="Arial" w:hAnsi="Arial" w:cs="Arial"/>
          <w:sz w:val="22"/>
          <w:szCs w:val="22"/>
        </w:rPr>
        <w:t>: devolution for economic growth and public service reform; skills, employment and welfare reform; and trade and investment</w:t>
      </w:r>
      <w:r>
        <w:rPr>
          <w:rFonts w:ascii="Arial" w:hAnsi="Arial" w:cs="Arial"/>
          <w:sz w:val="22"/>
          <w:szCs w:val="22"/>
        </w:rPr>
        <w:t>.</w:t>
      </w:r>
      <w:r w:rsidR="00000AA6">
        <w:rPr>
          <w:rFonts w:ascii="Arial" w:hAnsi="Arial" w:cs="Arial"/>
          <w:sz w:val="22"/>
          <w:szCs w:val="22"/>
        </w:rPr>
        <w:t xml:space="preserve">  Items 3, 4 and 5 of the agenda provide an opportunity for more substantive discussions of these priorities. </w:t>
      </w:r>
      <w:r>
        <w:rPr>
          <w:rFonts w:ascii="Arial" w:hAnsi="Arial" w:cs="Arial"/>
          <w:sz w:val="22"/>
          <w:szCs w:val="22"/>
        </w:rPr>
        <w:t xml:space="preserve">  </w:t>
      </w:r>
    </w:p>
    <w:p w14:paraId="02E4F596" w14:textId="77777777" w:rsidR="00BF6530" w:rsidRDefault="00BF6530" w:rsidP="00E32D5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BF6530" w14:paraId="02E4F5A2" w14:textId="77777777" w:rsidTr="00BF6530">
        <w:tc>
          <w:tcPr>
            <w:tcW w:w="9157" w:type="dxa"/>
            <w:tcBorders>
              <w:top w:val="single" w:sz="4" w:space="0" w:color="auto"/>
              <w:left w:val="single" w:sz="4" w:space="0" w:color="auto"/>
              <w:bottom w:val="single" w:sz="4" w:space="0" w:color="auto"/>
              <w:right w:val="single" w:sz="4" w:space="0" w:color="auto"/>
            </w:tcBorders>
          </w:tcPr>
          <w:p w14:paraId="02E4F597" w14:textId="77777777" w:rsidR="00BF6530" w:rsidRDefault="00BF6530">
            <w:pPr>
              <w:pStyle w:val="MainText"/>
              <w:rPr>
                <w:rFonts w:ascii="Arial" w:hAnsi="Arial" w:cs="Arial"/>
                <w:b/>
                <w:szCs w:val="22"/>
              </w:rPr>
            </w:pPr>
          </w:p>
          <w:p w14:paraId="02E4F598" w14:textId="77777777" w:rsidR="00BF6530" w:rsidRDefault="00BF6530">
            <w:pPr>
              <w:pStyle w:val="MainText"/>
              <w:rPr>
                <w:rFonts w:ascii="Arial" w:hAnsi="Arial" w:cs="Arial"/>
                <w:b/>
                <w:szCs w:val="22"/>
              </w:rPr>
            </w:pPr>
            <w:r>
              <w:rPr>
                <w:rFonts w:ascii="Arial" w:hAnsi="Arial" w:cs="Arial"/>
                <w:b/>
                <w:szCs w:val="22"/>
              </w:rPr>
              <w:t>Recommendation</w:t>
            </w:r>
          </w:p>
          <w:p w14:paraId="02E4F599" w14:textId="77777777" w:rsidR="00BF6530" w:rsidRDefault="00BF6530">
            <w:pPr>
              <w:pStyle w:val="MainText"/>
              <w:rPr>
                <w:rFonts w:ascii="Arial" w:hAnsi="Arial" w:cs="Arial"/>
                <w:b/>
                <w:szCs w:val="22"/>
              </w:rPr>
            </w:pPr>
          </w:p>
          <w:p w14:paraId="02E4F59C" w14:textId="2D4F0B97" w:rsidR="007E26EC" w:rsidRDefault="00306DD4" w:rsidP="00E035F3">
            <w:pPr>
              <w:pStyle w:val="MainText"/>
              <w:rPr>
                <w:rFonts w:ascii="Arial" w:hAnsi="Arial" w:cs="Arial"/>
                <w:szCs w:val="22"/>
              </w:rPr>
            </w:pPr>
            <w:r>
              <w:rPr>
                <w:rFonts w:ascii="Arial" w:hAnsi="Arial" w:cs="Arial"/>
                <w:szCs w:val="22"/>
              </w:rPr>
              <w:t>M</w:t>
            </w:r>
            <w:r w:rsidR="00BF6530">
              <w:rPr>
                <w:rFonts w:ascii="Arial" w:hAnsi="Arial" w:cs="Arial"/>
                <w:szCs w:val="22"/>
              </w:rPr>
              <w:t>embers</w:t>
            </w:r>
            <w:r w:rsidR="005D37E0" w:rsidRPr="00A712B1">
              <w:rPr>
                <w:rFonts w:ascii="Arial" w:hAnsi="Arial" w:cs="Arial"/>
                <w:szCs w:val="22"/>
              </w:rPr>
              <w:t xml:space="preserve"> are asked to</w:t>
            </w:r>
            <w:r w:rsidR="00E035F3">
              <w:rPr>
                <w:rFonts w:ascii="Arial" w:hAnsi="Arial" w:cs="Arial"/>
                <w:szCs w:val="22"/>
              </w:rPr>
              <w:t xml:space="preserve"> n</w:t>
            </w:r>
            <w:r w:rsidR="00266C04">
              <w:rPr>
                <w:rFonts w:ascii="Arial" w:hAnsi="Arial" w:cs="Arial"/>
                <w:szCs w:val="22"/>
              </w:rPr>
              <w:t>ote the report and comment</w:t>
            </w:r>
            <w:r w:rsidR="00E035F3">
              <w:rPr>
                <w:rFonts w:ascii="Arial" w:hAnsi="Arial" w:cs="Arial"/>
                <w:szCs w:val="22"/>
              </w:rPr>
              <w:t xml:space="preserve"> on the progress outlined to date.</w:t>
            </w:r>
          </w:p>
          <w:p w14:paraId="02E4F59D" w14:textId="77777777" w:rsidR="00BF6530" w:rsidRDefault="00BF6530">
            <w:pPr>
              <w:pStyle w:val="MainText"/>
              <w:rPr>
                <w:rFonts w:ascii="Arial" w:hAnsi="Arial" w:cs="Arial"/>
                <w:szCs w:val="22"/>
              </w:rPr>
            </w:pPr>
          </w:p>
          <w:p w14:paraId="02E4F59E" w14:textId="77777777" w:rsidR="00BF6530" w:rsidRDefault="00BF6530">
            <w:pPr>
              <w:pStyle w:val="MainText"/>
              <w:rPr>
                <w:rFonts w:ascii="Arial" w:hAnsi="Arial" w:cs="Arial"/>
                <w:b/>
                <w:szCs w:val="22"/>
              </w:rPr>
            </w:pPr>
            <w:r>
              <w:rPr>
                <w:rFonts w:ascii="Arial" w:hAnsi="Arial" w:cs="Arial"/>
                <w:b/>
                <w:szCs w:val="22"/>
              </w:rPr>
              <w:t>Action</w:t>
            </w:r>
          </w:p>
          <w:p w14:paraId="02E4F59F" w14:textId="77777777" w:rsidR="00BF6530" w:rsidRDefault="00BF6530">
            <w:pPr>
              <w:pStyle w:val="MainText"/>
              <w:rPr>
                <w:rFonts w:ascii="Arial" w:hAnsi="Arial" w:cs="Arial"/>
                <w:b/>
                <w:szCs w:val="22"/>
              </w:rPr>
            </w:pPr>
          </w:p>
          <w:p w14:paraId="02E4F5A0" w14:textId="77777777" w:rsidR="00BF6530" w:rsidRDefault="007E26EC">
            <w:pPr>
              <w:pStyle w:val="MainText"/>
              <w:rPr>
                <w:rFonts w:ascii="Arial" w:hAnsi="Arial" w:cs="Arial"/>
                <w:szCs w:val="22"/>
              </w:rPr>
            </w:pPr>
            <w:r>
              <w:rPr>
                <w:rFonts w:ascii="Arial" w:hAnsi="Arial" w:cs="Arial"/>
                <w:szCs w:val="22"/>
              </w:rPr>
              <w:t>Officers to progress in line with lead members’ comments.</w:t>
            </w:r>
          </w:p>
          <w:p w14:paraId="02E4F5A1" w14:textId="77777777" w:rsidR="00BF6530" w:rsidRDefault="00BF6530">
            <w:pPr>
              <w:pStyle w:val="MainText"/>
              <w:rPr>
                <w:rFonts w:ascii="Arial" w:hAnsi="Arial" w:cs="Arial"/>
                <w:b/>
                <w:szCs w:val="22"/>
              </w:rPr>
            </w:pPr>
          </w:p>
        </w:tc>
      </w:tr>
    </w:tbl>
    <w:p w14:paraId="02E4F5A3" w14:textId="77777777" w:rsidR="00BF6530" w:rsidRDefault="00BF6530" w:rsidP="00BF6530">
      <w:pPr>
        <w:pStyle w:val="MainText"/>
        <w:rPr>
          <w:rFonts w:ascii="Arial" w:hAnsi="Arial" w:cs="Arial"/>
          <w:szCs w:val="22"/>
        </w:rPr>
      </w:pPr>
    </w:p>
    <w:p w14:paraId="02E4F5A4" w14:textId="77777777" w:rsidR="00BF6530" w:rsidRDefault="00BF6530" w:rsidP="00BF6530">
      <w:pPr>
        <w:pStyle w:val="MainText"/>
        <w:rPr>
          <w:rFonts w:ascii="Arial" w:hAnsi="Arial" w:cs="Arial"/>
          <w:szCs w:val="22"/>
        </w:rPr>
      </w:pPr>
    </w:p>
    <w:p w14:paraId="02E4F5A5" w14:textId="77777777" w:rsidR="00BF6530" w:rsidRDefault="00BF6530" w:rsidP="00BF6530">
      <w:pPr>
        <w:pStyle w:val="MainText"/>
        <w:rPr>
          <w:rFonts w:ascii="Arial" w:hAnsi="Arial" w:cs="Arial"/>
          <w:szCs w:val="22"/>
        </w:rPr>
      </w:pPr>
    </w:p>
    <w:p w14:paraId="02E4F5A6" w14:textId="77777777" w:rsidR="00BF6530" w:rsidRDefault="00BF6530" w:rsidP="00BF6530">
      <w:pPr>
        <w:pStyle w:val="MainText"/>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98"/>
        <w:gridCol w:w="5924"/>
      </w:tblGrid>
      <w:tr w:rsidR="00BF6530" w14:paraId="02E4F5A9" w14:textId="77777777" w:rsidTr="00BF6530">
        <w:tc>
          <w:tcPr>
            <w:tcW w:w="2802" w:type="dxa"/>
            <w:hideMark/>
          </w:tcPr>
          <w:p w14:paraId="02E4F5A7" w14:textId="77777777" w:rsidR="00BF6530" w:rsidRDefault="00BF6530">
            <w:pPr>
              <w:pStyle w:val="MainText"/>
              <w:spacing w:after="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78" w:type="dxa"/>
            <w:hideMark/>
          </w:tcPr>
          <w:p w14:paraId="02E4F5A8" w14:textId="77777777" w:rsidR="00BF6530" w:rsidRDefault="00BF6530">
            <w:pPr>
              <w:pStyle w:val="MainText"/>
              <w:spacing w:after="120" w:line="240" w:lineRule="auto"/>
              <w:rPr>
                <w:rFonts w:ascii="Arial" w:hAnsi="Arial" w:cs="Arial"/>
                <w:szCs w:val="22"/>
              </w:rPr>
            </w:pPr>
            <w:r>
              <w:rPr>
                <w:rFonts w:ascii="Arial" w:hAnsi="Arial" w:cs="Arial"/>
                <w:szCs w:val="22"/>
              </w:rPr>
              <w:t>Ian Hughes</w:t>
            </w:r>
          </w:p>
        </w:tc>
      </w:tr>
      <w:tr w:rsidR="00BF6530" w14:paraId="02E4F5AC" w14:textId="77777777" w:rsidTr="00BF6530">
        <w:tc>
          <w:tcPr>
            <w:tcW w:w="2802" w:type="dxa"/>
            <w:hideMark/>
          </w:tcPr>
          <w:p w14:paraId="02E4F5AA" w14:textId="77777777" w:rsidR="00BF6530" w:rsidRDefault="00BF6530">
            <w:pPr>
              <w:pStyle w:val="MainText"/>
              <w:spacing w:after="120" w:line="240" w:lineRule="auto"/>
              <w:rPr>
                <w:rFonts w:ascii="Arial" w:hAnsi="Arial" w:cs="Arial"/>
                <w:b/>
                <w:szCs w:val="22"/>
              </w:rPr>
            </w:pPr>
            <w:r>
              <w:rPr>
                <w:rFonts w:ascii="Arial" w:hAnsi="Arial" w:cs="Arial"/>
                <w:b/>
                <w:szCs w:val="22"/>
              </w:rPr>
              <w:t>Position:</w:t>
            </w:r>
          </w:p>
        </w:tc>
        <w:tc>
          <w:tcPr>
            <w:tcW w:w="6378" w:type="dxa"/>
            <w:hideMark/>
          </w:tcPr>
          <w:p w14:paraId="02E4F5AB" w14:textId="77777777" w:rsidR="00BF6530" w:rsidRDefault="00BF6530">
            <w:pPr>
              <w:pStyle w:val="MainText"/>
              <w:spacing w:after="120" w:line="240" w:lineRule="auto"/>
              <w:rPr>
                <w:rFonts w:ascii="Arial" w:hAnsi="Arial" w:cs="Arial"/>
                <w:szCs w:val="22"/>
              </w:rPr>
            </w:pPr>
            <w:r>
              <w:rPr>
                <w:rFonts w:ascii="Arial" w:hAnsi="Arial" w:cs="Arial"/>
                <w:szCs w:val="22"/>
              </w:rPr>
              <w:t>Head of Programme (Growth and International)</w:t>
            </w:r>
          </w:p>
        </w:tc>
      </w:tr>
      <w:tr w:rsidR="00BF6530" w14:paraId="02E4F5AF" w14:textId="77777777" w:rsidTr="00BF6530">
        <w:tc>
          <w:tcPr>
            <w:tcW w:w="2802" w:type="dxa"/>
            <w:hideMark/>
          </w:tcPr>
          <w:p w14:paraId="02E4F5AD" w14:textId="77777777" w:rsidR="00BF6530" w:rsidRDefault="00BF6530">
            <w:pPr>
              <w:pStyle w:val="MainText"/>
              <w:spacing w:after="120" w:line="240" w:lineRule="auto"/>
              <w:rPr>
                <w:rFonts w:ascii="Arial" w:hAnsi="Arial" w:cs="Arial"/>
                <w:b/>
                <w:szCs w:val="22"/>
              </w:rPr>
            </w:pPr>
            <w:r>
              <w:rPr>
                <w:rFonts w:ascii="Arial" w:hAnsi="Arial" w:cs="Arial"/>
                <w:b/>
                <w:szCs w:val="22"/>
              </w:rPr>
              <w:t>Phone no:</w:t>
            </w:r>
          </w:p>
        </w:tc>
        <w:tc>
          <w:tcPr>
            <w:tcW w:w="6378" w:type="dxa"/>
            <w:hideMark/>
          </w:tcPr>
          <w:p w14:paraId="02E4F5AE" w14:textId="77777777" w:rsidR="00BF6530" w:rsidRDefault="00BF6530">
            <w:pPr>
              <w:pStyle w:val="MainText"/>
              <w:spacing w:after="120" w:line="240" w:lineRule="auto"/>
              <w:rPr>
                <w:rFonts w:ascii="Arial" w:hAnsi="Arial" w:cs="Arial"/>
                <w:szCs w:val="22"/>
              </w:rPr>
            </w:pPr>
            <w:r>
              <w:rPr>
                <w:rFonts w:ascii="Arial" w:hAnsi="Arial" w:cs="Arial"/>
                <w:szCs w:val="22"/>
              </w:rPr>
              <w:t>020 7664 3101</w:t>
            </w:r>
          </w:p>
        </w:tc>
      </w:tr>
      <w:tr w:rsidR="00BF6530" w14:paraId="02E4F5B2" w14:textId="77777777" w:rsidTr="00BF6530">
        <w:tc>
          <w:tcPr>
            <w:tcW w:w="2802" w:type="dxa"/>
            <w:hideMark/>
          </w:tcPr>
          <w:p w14:paraId="02E4F5B0" w14:textId="77777777" w:rsidR="00BF6530" w:rsidRDefault="00BF6530">
            <w:pPr>
              <w:pStyle w:val="MainText"/>
              <w:spacing w:after="120" w:line="240" w:lineRule="auto"/>
              <w:rPr>
                <w:rFonts w:ascii="Arial" w:hAnsi="Arial" w:cs="Arial"/>
                <w:b/>
                <w:szCs w:val="22"/>
              </w:rPr>
            </w:pPr>
            <w:r>
              <w:rPr>
                <w:rFonts w:ascii="Arial" w:hAnsi="Arial" w:cs="Arial"/>
                <w:b/>
                <w:szCs w:val="22"/>
              </w:rPr>
              <w:t>E-mail:</w:t>
            </w:r>
          </w:p>
        </w:tc>
        <w:tc>
          <w:tcPr>
            <w:tcW w:w="6378" w:type="dxa"/>
            <w:hideMark/>
          </w:tcPr>
          <w:p w14:paraId="02E4F5B1" w14:textId="77777777" w:rsidR="00BF6530" w:rsidRDefault="00FF0686">
            <w:pPr>
              <w:pStyle w:val="MainText"/>
              <w:spacing w:after="120" w:line="240" w:lineRule="auto"/>
              <w:rPr>
                <w:rFonts w:ascii="Arial" w:hAnsi="Arial" w:cs="Arial"/>
                <w:szCs w:val="22"/>
              </w:rPr>
            </w:pPr>
            <w:hyperlink r:id="rId12" w:history="1">
              <w:r w:rsidR="00BF6530">
                <w:rPr>
                  <w:rStyle w:val="Hyperlink"/>
                  <w:rFonts w:ascii="Arial" w:hAnsi="Arial" w:cs="Arial"/>
                  <w:szCs w:val="22"/>
                </w:rPr>
                <w:t>Ian.Hughes@local.gov.uk</w:t>
              </w:r>
            </w:hyperlink>
            <w:r w:rsidR="00BF6530">
              <w:rPr>
                <w:rFonts w:ascii="Arial" w:hAnsi="Arial" w:cs="Arial"/>
                <w:szCs w:val="22"/>
              </w:rPr>
              <w:t xml:space="preserve"> </w:t>
            </w:r>
          </w:p>
        </w:tc>
      </w:tr>
    </w:tbl>
    <w:p w14:paraId="02E4F5B3" w14:textId="77777777" w:rsidR="00BF6530" w:rsidRDefault="00BF6530" w:rsidP="00E32D5B">
      <w:pPr>
        <w:rPr>
          <w:rFonts w:ascii="Arial" w:hAnsi="Arial" w:cs="Arial"/>
          <w:b/>
          <w:sz w:val="22"/>
          <w:szCs w:val="22"/>
        </w:rPr>
      </w:pPr>
    </w:p>
    <w:p w14:paraId="02E4F5B4" w14:textId="77777777" w:rsidR="00BF6530" w:rsidRDefault="00BF6530" w:rsidP="00E32D5B">
      <w:pPr>
        <w:rPr>
          <w:rFonts w:ascii="Arial" w:hAnsi="Arial" w:cs="Arial"/>
          <w:b/>
          <w:sz w:val="22"/>
          <w:szCs w:val="22"/>
        </w:rPr>
      </w:pPr>
    </w:p>
    <w:p w14:paraId="02E4F5B5" w14:textId="77777777" w:rsidR="00BF6530" w:rsidRDefault="00BF6530" w:rsidP="00E32D5B">
      <w:pPr>
        <w:rPr>
          <w:rFonts w:ascii="Arial" w:hAnsi="Arial" w:cs="Arial"/>
          <w:b/>
          <w:sz w:val="22"/>
          <w:szCs w:val="22"/>
        </w:rPr>
      </w:pPr>
    </w:p>
    <w:p w14:paraId="02E4F5B6" w14:textId="77777777" w:rsidR="00BF6530" w:rsidRDefault="00BF6530" w:rsidP="00E32D5B">
      <w:pPr>
        <w:rPr>
          <w:rFonts w:ascii="Arial" w:hAnsi="Arial" w:cs="Arial"/>
          <w:b/>
          <w:sz w:val="22"/>
          <w:szCs w:val="22"/>
        </w:rPr>
      </w:pPr>
    </w:p>
    <w:p w14:paraId="02E4F5B7" w14:textId="77777777" w:rsidR="00BF6530" w:rsidRDefault="00BF6530" w:rsidP="00E32D5B">
      <w:pPr>
        <w:rPr>
          <w:rFonts w:ascii="Arial" w:hAnsi="Arial" w:cs="Arial"/>
          <w:b/>
          <w:sz w:val="22"/>
          <w:szCs w:val="22"/>
        </w:rPr>
      </w:pPr>
    </w:p>
    <w:p w14:paraId="02E4F5B8" w14:textId="77777777" w:rsidR="00BF6530" w:rsidRDefault="00BF6530" w:rsidP="00E32D5B">
      <w:pPr>
        <w:rPr>
          <w:rFonts w:ascii="Arial" w:hAnsi="Arial" w:cs="Arial"/>
          <w:b/>
          <w:sz w:val="22"/>
          <w:szCs w:val="22"/>
        </w:rPr>
      </w:pPr>
    </w:p>
    <w:p w14:paraId="02E4F5B9" w14:textId="77777777" w:rsidR="00BF6530" w:rsidRDefault="00BF6530" w:rsidP="00E32D5B">
      <w:pPr>
        <w:rPr>
          <w:rFonts w:ascii="Arial" w:hAnsi="Arial" w:cs="Arial"/>
          <w:b/>
          <w:sz w:val="22"/>
          <w:szCs w:val="22"/>
        </w:rPr>
      </w:pPr>
    </w:p>
    <w:p w14:paraId="02E4F5BA" w14:textId="77777777" w:rsidR="00BF6530" w:rsidRDefault="00BF6530" w:rsidP="00E32D5B">
      <w:pPr>
        <w:rPr>
          <w:rFonts w:ascii="Arial" w:hAnsi="Arial" w:cs="Arial"/>
          <w:b/>
          <w:sz w:val="22"/>
          <w:szCs w:val="22"/>
        </w:rPr>
      </w:pPr>
    </w:p>
    <w:p w14:paraId="02E4F5BB" w14:textId="77777777" w:rsidR="00BF6530" w:rsidRDefault="00BF6530" w:rsidP="00E32D5B">
      <w:pPr>
        <w:rPr>
          <w:rFonts w:ascii="Arial" w:hAnsi="Arial" w:cs="Arial"/>
          <w:b/>
          <w:sz w:val="22"/>
          <w:szCs w:val="22"/>
        </w:rPr>
      </w:pPr>
    </w:p>
    <w:p w14:paraId="02E4F5BC" w14:textId="77777777" w:rsidR="00BF6530" w:rsidRDefault="00BF6530" w:rsidP="00E32D5B">
      <w:pPr>
        <w:rPr>
          <w:rFonts w:ascii="Arial" w:hAnsi="Arial" w:cs="Arial"/>
          <w:b/>
          <w:sz w:val="22"/>
          <w:szCs w:val="22"/>
        </w:rPr>
      </w:pPr>
    </w:p>
    <w:p w14:paraId="02E4F5BD" w14:textId="77777777" w:rsidR="00BF6530" w:rsidRDefault="00BF6530" w:rsidP="00E32D5B">
      <w:pPr>
        <w:rPr>
          <w:rFonts w:ascii="Arial" w:hAnsi="Arial" w:cs="Arial"/>
          <w:b/>
          <w:sz w:val="22"/>
          <w:szCs w:val="22"/>
        </w:rPr>
      </w:pPr>
    </w:p>
    <w:p w14:paraId="02E4F5BE" w14:textId="77777777" w:rsidR="00BF6530" w:rsidRDefault="00BF6530" w:rsidP="00E32D5B">
      <w:pPr>
        <w:rPr>
          <w:rFonts w:ascii="Arial" w:hAnsi="Arial" w:cs="Arial"/>
          <w:b/>
          <w:sz w:val="22"/>
          <w:szCs w:val="22"/>
        </w:rPr>
      </w:pPr>
    </w:p>
    <w:p w14:paraId="02E4F5BF" w14:textId="77777777" w:rsidR="00BF6530" w:rsidRDefault="00BF6530" w:rsidP="00E32D5B">
      <w:pPr>
        <w:rPr>
          <w:rFonts w:ascii="Arial" w:hAnsi="Arial" w:cs="Arial"/>
          <w:b/>
          <w:sz w:val="22"/>
          <w:szCs w:val="22"/>
        </w:rPr>
      </w:pPr>
    </w:p>
    <w:p w14:paraId="02E4F5C0" w14:textId="77777777" w:rsidR="00E101C7" w:rsidRDefault="00E101C7">
      <w:pPr>
        <w:rPr>
          <w:rFonts w:ascii="Arial" w:hAnsi="Arial" w:cs="Arial"/>
          <w:b/>
          <w:sz w:val="28"/>
          <w:szCs w:val="28"/>
        </w:rPr>
      </w:pPr>
      <w:r>
        <w:rPr>
          <w:rFonts w:ascii="Arial" w:hAnsi="Arial" w:cs="Arial"/>
          <w:b/>
          <w:sz w:val="28"/>
          <w:szCs w:val="28"/>
        </w:rPr>
        <w:br w:type="page"/>
      </w:r>
    </w:p>
    <w:p w14:paraId="02E4F5C3" w14:textId="77777777" w:rsidR="00E32D5B" w:rsidRPr="00FF0686" w:rsidRDefault="00E101C7" w:rsidP="00E32D5B">
      <w:pPr>
        <w:rPr>
          <w:rFonts w:ascii="Arial" w:hAnsi="Arial" w:cs="Arial"/>
          <w:b/>
          <w:sz w:val="28"/>
          <w:szCs w:val="28"/>
        </w:rPr>
      </w:pPr>
      <w:r w:rsidRPr="00FF0686">
        <w:rPr>
          <w:rFonts w:ascii="Arial" w:hAnsi="Arial" w:cs="Arial"/>
          <w:b/>
          <w:sz w:val="28"/>
          <w:szCs w:val="28"/>
        </w:rPr>
        <w:lastRenderedPageBreak/>
        <w:t>Update</w:t>
      </w:r>
      <w:r w:rsidR="005D37E0" w:rsidRPr="00FF0686">
        <w:rPr>
          <w:rFonts w:ascii="Arial" w:hAnsi="Arial" w:cs="Arial"/>
          <w:b/>
          <w:sz w:val="28"/>
          <w:szCs w:val="28"/>
        </w:rPr>
        <w:t xml:space="preserve"> on the Work Programme</w:t>
      </w:r>
    </w:p>
    <w:p w14:paraId="02E4F5C4" w14:textId="77777777" w:rsidR="005D37E0" w:rsidRPr="00A712B1" w:rsidRDefault="005D37E0" w:rsidP="00E32D5B">
      <w:pPr>
        <w:rPr>
          <w:rFonts w:ascii="Arial" w:hAnsi="Arial" w:cs="Arial"/>
          <w:b/>
          <w:sz w:val="22"/>
          <w:szCs w:val="22"/>
        </w:rPr>
      </w:pPr>
    </w:p>
    <w:p w14:paraId="02E4F5C5" w14:textId="77777777" w:rsidR="00D87F6B" w:rsidRPr="00FF0686" w:rsidRDefault="00E101C7" w:rsidP="00E32D5B">
      <w:pPr>
        <w:rPr>
          <w:rFonts w:ascii="Arial" w:hAnsi="Arial" w:cs="Arial"/>
          <w:b/>
          <w:sz w:val="22"/>
          <w:szCs w:val="22"/>
        </w:rPr>
      </w:pPr>
      <w:r w:rsidRPr="00FF0686">
        <w:rPr>
          <w:rFonts w:ascii="Arial" w:hAnsi="Arial" w:cs="Arial"/>
          <w:b/>
          <w:sz w:val="22"/>
          <w:szCs w:val="22"/>
        </w:rPr>
        <w:t>Devolution and public service reform</w:t>
      </w:r>
    </w:p>
    <w:p w14:paraId="02E4F5C6" w14:textId="77777777" w:rsidR="00E101C7" w:rsidRPr="00A712B1" w:rsidRDefault="00E101C7" w:rsidP="00E32D5B">
      <w:pPr>
        <w:rPr>
          <w:rFonts w:ascii="Arial" w:hAnsi="Arial" w:cs="Arial"/>
          <w:i/>
          <w:sz w:val="22"/>
          <w:szCs w:val="22"/>
          <w:u w:val="single"/>
        </w:rPr>
      </w:pPr>
    </w:p>
    <w:p w14:paraId="02E4F5C7" w14:textId="77777777" w:rsidR="008F78D8" w:rsidRDefault="002527E8"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t xml:space="preserve">Members have agreed a </w:t>
      </w:r>
      <w:r w:rsidR="008F78D8" w:rsidRPr="00A712B1">
        <w:rPr>
          <w:rFonts w:ascii="Arial" w:hAnsi="Arial" w:cs="Arial"/>
          <w:sz w:val="22"/>
          <w:szCs w:val="22"/>
        </w:rPr>
        <w:t xml:space="preserve">focused work programme </w:t>
      </w:r>
      <w:r w:rsidR="00287602" w:rsidRPr="00A712B1">
        <w:rPr>
          <w:rFonts w:ascii="Arial" w:hAnsi="Arial" w:cs="Arial"/>
          <w:sz w:val="22"/>
          <w:szCs w:val="22"/>
        </w:rPr>
        <w:t xml:space="preserve">to add </w:t>
      </w:r>
      <w:r w:rsidR="00BF0369" w:rsidRPr="00A712B1">
        <w:rPr>
          <w:rFonts w:ascii="Arial" w:hAnsi="Arial" w:cs="Arial"/>
          <w:sz w:val="22"/>
          <w:szCs w:val="22"/>
        </w:rPr>
        <w:t xml:space="preserve">value </w:t>
      </w:r>
      <w:r w:rsidR="00287602" w:rsidRPr="00A712B1">
        <w:rPr>
          <w:rFonts w:ascii="Arial" w:hAnsi="Arial" w:cs="Arial"/>
          <w:sz w:val="22"/>
          <w:szCs w:val="22"/>
        </w:rPr>
        <w:t xml:space="preserve">to the evidence base </w:t>
      </w:r>
      <w:r w:rsidR="009C4A32" w:rsidRPr="00A712B1">
        <w:rPr>
          <w:rFonts w:ascii="Arial" w:hAnsi="Arial" w:cs="Arial"/>
          <w:sz w:val="22"/>
          <w:szCs w:val="22"/>
        </w:rPr>
        <w:t>for</w:t>
      </w:r>
      <w:r w:rsidR="00287602" w:rsidRPr="00A712B1">
        <w:rPr>
          <w:rFonts w:ascii="Arial" w:hAnsi="Arial" w:cs="Arial"/>
          <w:sz w:val="22"/>
          <w:szCs w:val="22"/>
        </w:rPr>
        <w:t xml:space="preserve"> secur</w:t>
      </w:r>
      <w:r w:rsidR="00BF0369" w:rsidRPr="00A712B1">
        <w:rPr>
          <w:rFonts w:ascii="Arial" w:hAnsi="Arial" w:cs="Arial"/>
          <w:sz w:val="22"/>
          <w:szCs w:val="22"/>
        </w:rPr>
        <w:t>ing</w:t>
      </w:r>
      <w:r w:rsidR="00287602" w:rsidRPr="00A712B1">
        <w:rPr>
          <w:rFonts w:ascii="Arial" w:hAnsi="Arial" w:cs="Arial"/>
          <w:sz w:val="22"/>
          <w:szCs w:val="22"/>
        </w:rPr>
        <w:t xml:space="preserve"> more powerful city regions in England.</w:t>
      </w:r>
    </w:p>
    <w:p w14:paraId="02E4F5C8" w14:textId="77777777" w:rsidR="005D37E0" w:rsidRDefault="005D37E0" w:rsidP="005D37E0">
      <w:pPr>
        <w:pStyle w:val="ListParagraph"/>
        <w:ind w:left="426"/>
        <w:rPr>
          <w:rFonts w:ascii="Arial" w:hAnsi="Arial" w:cs="Arial"/>
          <w:sz w:val="22"/>
          <w:szCs w:val="22"/>
        </w:rPr>
      </w:pPr>
    </w:p>
    <w:p w14:paraId="02E4F5C9" w14:textId="5FDDD80E" w:rsidR="009E5EED" w:rsidRPr="00FF0686" w:rsidRDefault="009E5EED" w:rsidP="00FF0686">
      <w:pPr>
        <w:pStyle w:val="ListParagraph"/>
        <w:numPr>
          <w:ilvl w:val="0"/>
          <w:numId w:val="8"/>
        </w:numPr>
        <w:ind w:left="567" w:hanging="567"/>
        <w:rPr>
          <w:rFonts w:ascii="Arial" w:hAnsi="Arial" w:cs="Arial"/>
          <w:i/>
          <w:sz w:val="22"/>
          <w:szCs w:val="22"/>
          <w:u w:val="single"/>
        </w:rPr>
      </w:pPr>
      <w:r w:rsidRPr="00FF0686">
        <w:rPr>
          <w:rFonts w:ascii="Arial" w:hAnsi="Arial" w:cs="Arial"/>
          <w:sz w:val="22"/>
          <w:szCs w:val="22"/>
        </w:rPr>
        <w:t xml:space="preserve">At its last meeting, members agreed that with devolution having shot to the top of the public agenda, the Board’s work programme needed to focus on building on the momentum generated by </w:t>
      </w:r>
      <w:r w:rsidR="00D45B51" w:rsidRPr="00FF0686">
        <w:rPr>
          <w:rFonts w:ascii="Arial" w:hAnsi="Arial" w:cs="Arial"/>
          <w:sz w:val="22"/>
          <w:szCs w:val="22"/>
        </w:rPr>
        <w:t xml:space="preserve">recent announcements on Scottish and English devolution.  </w:t>
      </w:r>
      <w:r w:rsidRPr="00FF0686">
        <w:rPr>
          <w:rFonts w:ascii="Arial" w:hAnsi="Arial" w:cs="Arial"/>
          <w:sz w:val="22"/>
          <w:szCs w:val="22"/>
        </w:rPr>
        <w:t xml:space="preserve">Sir Richard Leese spoke on behalf of the City Regions Board at a seminar on devolution with the LGA Executive on </w:t>
      </w:r>
      <w:r w:rsidR="00E035F3" w:rsidRPr="00FF0686">
        <w:rPr>
          <w:rFonts w:ascii="Arial" w:hAnsi="Arial" w:cs="Arial"/>
          <w:sz w:val="22"/>
          <w:szCs w:val="22"/>
        </w:rPr>
        <w:t xml:space="preserve">14 </w:t>
      </w:r>
      <w:r w:rsidRPr="00FF0686">
        <w:rPr>
          <w:rFonts w:ascii="Arial" w:hAnsi="Arial" w:cs="Arial"/>
          <w:sz w:val="22"/>
          <w:szCs w:val="22"/>
        </w:rPr>
        <w:t xml:space="preserve">December.  </w:t>
      </w:r>
      <w:r w:rsidR="00473BB3" w:rsidRPr="00FF0686">
        <w:rPr>
          <w:rFonts w:ascii="Arial" w:hAnsi="Arial" w:cs="Arial"/>
          <w:sz w:val="22"/>
          <w:szCs w:val="22"/>
        </w:rPr>
        <w:t>At the conclusion of that seminar, it was agreed that the LGA should be in the space of setting out a vision and route-map for achieving devolution within the UK over the course of the next parliament.  It has been proposed to the LGA Executive that the detailed work of shaping that vision and strategy be delegated to the City Regions and People and Places Board</w:t>
      </w:r>
      <w:r w:rsidR="00AC4710" w:rsidRPr="00FF0686">
        <w:rPr>
          <w:rFonts w:ascii="Arial" w:hAnsi="Arial" w:cs="Arial"/>
          <w:sz w:val="22"/>
          <w:szCs w:val="22"/>
        </w:rPr>
        <w:t>s</w:t>
      </w:r>
      <w:r w:rsidR="00473BB3" w:rsidRPr="00FF0686">
        <w:rPr>
          <w:rFonts w:ascii="Arial" w:hAnsi="Arial" w:cs="Arial"/>
          <w:sz w:val="22"/>
          <w:szCs w:val="22"/>
        </w:rPr>
        <w:t>, which will be discussed at item 3.</w:t>
      </w:r>
    </w:p>
    <w:p w14:paraId="219CABDF" w14:textId="77777777" w:rsidR="00D45B51" w:rsidRPr="00D45B51" w:rsidRDefault="00D45B51" w:rsidP="00D45B51">
      <w:pPr>
        <w:pStyle w:val="ListParagraph"/>
        <w:ind w:left="851"/>
        <w:rPr>
          <w:rFonts w:ascii="Arial" w:hAnsi="Arial" w:cs="Arial"/>
          <w:i/>
          <w:sz w:val="22"/>
          <w:szCs w:val="22"/>
          <w:u w:val="single"/>
        </w:rPr>
      </w:pPr>
    </w:p>
    <w:p w14:paraId="0AD828AA" w14:textId="77777777" w:rsidR="00D45B51" w:rsidRDefault="00D45B51"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t xml:space="preserve">We reported to the Board on our Chatham House work on the future of LEPs with senior civil servants and the LEP network.   The headline steer we are following is that LEP reform must address the issue of public accountability and be accompanied by genuine devolution to </w:t>
      </w:r>
      <w:r>
        <w:rPr>
          <w:rFonts w:ascii="Arial" w:hAnsi="Arial" w:cs="Arial"/>
          <w:sz w:val="22"/>
          <w:szCs w:val="22"/>
        </w:rPr>
        <w:t>local</w:t>
      </w:r>
      <w:r w:rsidRPr="00A712B1">
        <w:rPr>
          <w:rFonts w:ascii="Arial" w:hAnsi="Arial" w:cs="Arial"/>
          <w:sz w:val="22"/>
          <w:szCs w:val="22"/>
        </w:rPr>
        <w:t xml:space="preserve"> areas.  There has been follow up with BIS and Cabinet Office officials to influence their briefings and we are intending to meet again formally in the new year to discuss advice to any incoming ministers.</w:t>
      </w:r>
    </w:p>
    <w:p w14:paraId="02E4F5CA" w14:textId="77777777" w:rsidR="009E5EED" w:rsidRPr="00A712B1" w:rsidRDefault="009E5EED" w:rsidP="005D37E0">
      <w:pPr>
        <w:pStyle w:val="ListParagraph"/>
        <w:ind w:left="426"/>
        <w:rPr>
          <w:rFonts w:ascii="Arial" w:hAnsi="Arial" w:cs="Arial"/>
          <w:sz w:val="22"/>
          <w:szCs w:val="22"/>
        </w:rPr>
      </w:pPr>
    </w:p>
    <w:p w14:paraId="4A3515EF" w14:textId="77168D43" w:rsidR="00D45B51" w:rsidRPr="00D45B51" w:rsidRDefault="00E101C7" w:rsidP="00FF0686">
      <w:pPr>
        <w:pStyle w:val="ListParagraph"/>
        <w:numPr>
          <w:ilvl w:val="0"/>
          <w:numId w:val="8"/>
        </w:numPr>
        <w:ind w:left="567" w:hanging="567"/>
        <w:rPr>
          <w:rFonts w:ascii="Arial" w:hAnsi="Arial" w:cs="Arial"/>
          <w:sz w:val="22"/>
          <w:szCs w:val="22"/>
        </w:rPr>
      </w:pPr>
      <w:r w:rsidRPr="00D45B51">
        <w:rPr>
          <w:rFonts w:ascii="Arial" w:hAnsi="Arial" w:cs="Arial"/>
          <w:sz w:val="22"/>
          <w:szCs w:val="22"/>
        </w:rPr>
        <w:t xml:space="preserve">The City Growth Commission published its final report on </w:t>
      </w:r>
      <w:r w:rsidR="00E035F3">
        <w:rPr>
          <w:rFonts w:ascii="Arial" w:hAnsi="Arial" w:cs="Arial"/>
          <w:sz w:val="22"/>
          <w:szCs w:val="22"/>
        </w:rPr>
        <w:t xml:space="preserve">22 </w:t>
      </w:r>
      <w:r w:rsidRPr="00D45B51">
        <w:rPr>
          <w:rFonts w:ascii="Arial" w:hAnsi="Arial" w:cs="Arial"/>
          <w:sz w:val="22"/>
          <w:szCs w:val="22"/>
        </w:rPr>
        <w:t>October</w:t>
      </w:r>
      <w:r w:rsidR="00266C04" w:rsidRPr="00D45B51">
        <w:rPr>
          <w:rFonts w:ascii="Arial" w:hAnsi="Arial" w:cs="Arial"/>
          <w:sz w:val="22"/>
          <w:szCs w:val="22"/>
        </w:rPr>
        <w:t xml:space="preserve"> and </w:t>
      </w:r>
      <w:r w:rsidRPr="00D45B51">
        <w:rPr>
          <w:rFonts w:ascii="Arial" w:hAnsi="Arial" w:cs="Arial"/>
          <w:sz w:val="22"/>
          <w:szCs w:val="22"/>
        </w:rPr>
        <w:t xml:space="preserve">was covered widely in the media.  </w:t>
      </w:r>
      <w:r w:rsidR="00266C04" w:rsidRPr="00D45B51">
        <w:rPr>
          <w:rFonts w:ascii="Arial" w:hAnsi="Arial" w:cs="Arial"/>
          <w:sz w:val="22"/>
          <w:szCs w:val="22"/>
        </w:rPr>
        <w:t xml:space="preserve">The final report reflected members’ steer that the role of smaller cities should be appropriately recognised.  </w:t>
      </w:r>
      <w:r w:rsidR="00D45B51">
        <w:rPr>
          <w:rFonts w:ascii="Arial" w:hAnsi="Arial" w:cs="Arial"/>
          <w:sz w:val="22"/>
          <w:szCs w:val="22"/>
        </w:rPr>
        <w:t>The Board</w:t>
      </w:r>
      <w:r w:rsidR="009C4A32" w:rsidRPr="00D45B51">
        <w:rPr>
          <w:rFonts w:ascii="Arial" w:hAnsi="Arial" w:cs="Arial"/>
          <w:sz w:val="22"/>
          <w:szCs w:val="22"/>
        </w:rPr>
        <w:t xml:space="preserve"> </w:t>
      </w:r>
      <w:r w:rsidR="004951CD" w:rsidRPr="00D45B51">
        <w:rPr>
          <w:rFonts w:ascii="Arial" w:hAnsi="Arial" w:cs="Arial"/>
          <w:sz w:val="22"/>
          <w:szCs w:val="22"/>
        </w:rPr>
        <w:t xml:space="preserve">has </w:t>
      </w:r>
      <w:r w:rsidR="00D45B51">
        <w:rPr>
          <w:rFonts w:ascii="Arial" w:hAnsi="Arial" w:cs="Arial"/>
          <w:sz w:val="22"/>
          <w:szCs w:val="22"/>
        </w:rPr>
        <w:t xml:space="preserve">also </w:t>
      </w:r>
      <w:r w:rsidR="004951CD" w:rsidRPr="00D45B51">
        <w:rPr>
          <w:rFonts w:ascii="Arial" w:hAnsi="Arial" w:cs="Arial"/>
          <w:sz w:val="22"/>
          <w:szCs w:val="22"/>
        </w:rPr>
        <w:t>been</w:t>
      </w:r>
      <w:r w:rsidR="009C4A32" w:rsidRPr="00D45B51">
        <w:rPr>
          <w:rFonts w:ascii="Arial" w:hAnsi="Arial" w:cs="Arial"/>
          <w:sz w:val="22"/>
          <w:szCs w:val="22"/>
        </w:rPr>
        <w:t xml:space="preserve"> </w:t>
      </w:r>
      <w:r w:rsidR="00D45B51">
        <w:rPr>
          <w:rFonts w:ascii="Arial" w:hAnsi="Arial" w:cs="Arial"/>
          <w:sz w:val="22"/>
          <w:szCs w:val="22"/>
        </w:rPr>
        <w:t xml:space="preserve">analysing the findings of the Non-Metropolitan Commission and the independent </w:t>
      </w:r>
      <w:r w:rsidR="00E32D5B" w:rsidRPr="00D45B51">
        <w:rPr>
          <w:rFonts w:ascii="Arial" w:hAnsi="Arial" w:cs="Arial"/>
          <w:sz w:val="22"/>
          <w:szCs w:val="22"/>
        </w:rPr>
        <w:t>Commission</w:t>
      </w:r>
      <w:r w:rsidR="00D45B51">
        <w:rPr>
          <w:rFonts w:ascii="Arial" w:hAnsi="Arial" w:cs="Arial"/>
          <w:sz w:val="22"/>
          <w:szCs w:val="22"/>
        </w:rPr>
        <w:t xml:space="preserve"> on Local</w:t>
      </w:r>
      <w:r w:rsidR="00E32D5B" w:rsidRPr="00D45B51">
        <w:rPr>
          <w:rFonts w:ascii="Arial" w:hAnsi="Arial" w:cs="Arial"/>
          <w:sz w:val="22"/>
          <w:szCs w:val="22"/>
        </w:rPr>
        <w:t xml:space="preserve"> </w:t>
      </w:r>
      <w:r w:rsidR="00D45B51">
        <w:rPr>
          <w:rFonts w:ascii="Arial" w:hAnsi="Arial" w:cs="Arial"/>
          <w:sz w:val="22"/>
          <w:szCs w:val="22"/>
        </w:rPr>
        <w:t>Government Finance set up by the LGA and CIPFA to identify common themes and potential lobbying planks</w:t>
      </w:r>
      <w:r w:rsidR="004951CD" w:rsidRPr="00D45B51">
        <w:rPr>
          <w:rFonts w:ascii="Arial" w:hAnsi="Arial" w:cs="Arial"/>
          <w:sz w:val="22"/>
          <w:szCs w:val="22"/>
        </w:rPr>
        <w:t xml:space="preserve">.  </w:t>
      </w:r>
      <w:r w:rsidR="00D45B51">
        <w:rPr>
          <w:rFonts w:ascii="Arial" w:hAnsi="Arial" w:cs="Arial"/>
          <w:sz w:val="22"/>
          <w:szCs w:val="22"/>
        </w:rPr>
        <w:t>Both</w:t>
      </w:r>
      <w:r w:rsidR="004A400C" w:rsidRPr="00D45B51">
        <w:rPr>
          <w:rFonts w:ascii="Arial" w:hAnsi="Arial" w:cs="Arial"/>
          <w:sz w:val="22"/>
          <w:szCs w:val="22"/>
        </w:rPr>
        <w:t xml:space="preserve"> C</w:t>
      </w:r>
      <w:r w:rsidR="00455300" w:rsidRPr="00D45B51">
        <w:rPr>
          <w:rFonts w:ascii="Arial" w:hAnsi="Arial" w:cs="Arial"/>
          <w:sz w:val="22"/>
          <w:szCs w:val="22"/>
        </w:rPr>
        <w:t>ommission</w:t>
      </w:r>
      <w:r w:rsidR="00D45B51">
        <w:rPr>
          <w:rFonts w:ascii="Arial" w:hAnsi="Arial" w:cs="Arial"/>
          <w:sz w:val="22"/>
          <w:szCs w:val="22"/>
        </w:rPr>
        <w:t>s</w:t>
      </w:r>
      <w:r w:rsidR="00455300" w:rsidRPr="00D45B51">
        <w:rPr>
          <w:rFonts w:ascii="Arial" w:hAnsi="Arial" w:cs="Arial"/>
          <w:sz w:val="22"/>
          <w:szCs w:val="22"/>
        </w:rPr>
        <w:t xml:space="preserve"> </w:t>
      </w:r>
      <w:r w:rsidR="00D45B51">
        <w:rPr>
          <w:rFonts w:ascii="Arial" w:hAnsi="Arial" w:cs="Arial"/>
          <w:sz w:val="22"/>
          <w:szCs w:val="22"/>
        </w:rPr>
        <w:t xml:space="preserve">published </w:t>
      </w:r>
      <w:r w:rsidR="005C3D31" w:rsidRPr="00D45B51">
        <w:rPr>
          <w:rFonts w:ascii="Arial" w:hAnsi="Arial" w:cs="Arial"/>
          <w:sz w:val="22"/>
          <w:szCs w:val="22"/>
        </w:rPr>
        <w:t xml:space="preserve">interim report </w:t>
      </w:r>
      <w:r w:rsidR="00266C04" w:rsidRPr="00D45B51">
        <w:rPr>
          <w:rFonts w:ascii="Arial" w:hAnsi="Arial" w:cs="Arial"/>
          <w:sz w:val="22"/>
          <w:szCs w:val="22"/>
        </w:rPr>
        <w:t xml:space="preserve">in </w:t>
      </w:r>
      <w:r w:rsidR="00D45B51">
        <w:rPr>
          <w:rFonts w:ascii="Arial" w:hAnsi="Arial" w:cs="Arial"/>
          <w:sz w:val="22"/>
          <w:szCs w:val="22"/>
        </w:rPr>
        <w:t xml:space="preserve">the autumn.  </w:t>
      </w:r>
      <w:r w:rsidR="00D45B51" w:rsidRPr="00D45B51">
        <w:rPr>
          <w:rFonts w:ascii="Arial" w:hAnsi="Arial" w:cs="Arial"/>
          <w:sz w:val="22"/>
          <w:szCs w:val="22"/>
        </w:rPr>
        <w:t xml:space="preserve">At item 6, members are </w:t>
      </w:r>
      <w:r w:rsidR="00D45B51">
        <w:rPr>
          <w:rFonts w:ascii="Arial" w:hAnsi="Arial" w:cs="Arial"/>
          <w:sz w:val="22"/>
          <w:szCs w:val="22"/>
        </w:rPr>
        <w:t>invited</w:t>
      </w:r>
      <w:r w:rsidR="00D45B51" w:rsidRPr="00D45B51">
        <w:rPr>
          <w:rFonts w:ascii="Arial" w:hAnsi="Arial" w:cs="Arial"/>
          <w:sz w:val="22"/>
          <w:szCs w:val="22"/>
        </w:rPr>
        <w:t xml:space="preserve"> to consider</w:t>
      </w:r>
      <w:r w:rsidR="00D45B51">
        <w:rPr>
          <w:rFonts w:ascii="Arial" w:hAnsi="Arial" w:cs="Arial"/>
          <w:sz w:val="22"/>
          <w:szCs w:val="22"/>
        </w:rPr>
        <w:t xml:space="preserve"> the interim findings of the two commissions and</w:t>
      </w:r>
      <w:r w:rsidR="00D45B51" w:rsidRPr="00D45B51">
        <w:rPr>
          <w:rFonts w:ascii="Arial" w:hAnsi="Arial" w:cs="Arial"/>
          <w:sz w:val="22"/>
          <w:szCs w:val="22"/>
        </w:rPr>
        <w:t xml:space="preserve"> how the</w:t>
      </w:r>
      <w:r w:rsidR="00D45B51">
        <w:rPr>
          <w:rFonts w:ascii="Arial" w:hAnsi="Arial" w:cs="Arial"/>
          <w:sz w:val="22"/>
          <w:szCs w:val="22"/>
        </w:rPr>
        <w:t>y</w:t>
      </w:r>
      <w:r w:rsidR="005A75DB">
        <w:rPr>
          <w:rFonts w:ascii="Arial" w:hAnsi="Arial" w:cs="Arial"/>
          <w:sz w:val="22"/>
          <w:szCs w:val="22"/>
        </w:rPr>
        <w:t>,</w:t>
      </w:r>
      <w:r w:rsidR="00D45B51">
        <w:rPr>
          <w:rFonts w:ascii="Arial" w:hAnsi="Arial" w:cs="Arial"/>
          <w:sz w:val="22"/>
          <w:szCs w:val="22"/>
        </w:rPr>
        <w:t xml:space="preserve"> together with those of the Ci</w:t>
      </w:r>
      <w:r w:rsidR="00D45B51" w:rsidRPr="00D45B51">
        <w:rPr>
          <w:rFonts w:ascii="Arial" w:hAnsi="Arial" w:cs="Arial"/>
          <w:sz w:val="22"/>
          <w:szCs w:val="22"/>
        </w:rPr>
        <w:t>ty Growth Commission, can inform the Board’s future work.</w:t>
      </w:r>
    </w:p>
    <w:p w14:paraId="21CEF9D5" w14:textId="77777777" w:rsidR="00D45B51" w:rsidRPr="00A712B1" w:rsidRDefault="00D45B51" w:rsidP="00FF0686">
      <w:pPr>
        <w:pStyle w:val="ListParagraph"/>
        <w:ind w:left="567" w:hanging="567"/>
        <w:rPr>
          <w:rFonts w:ascii="Arial" w:hAnsi="Arial" w:cs="Arial"/>
          <w:sz w:val="22"/>
          <w:szCs w:val="22"/>
        </w:rPr>
      </w:pPr>
    </w:p>
    <w:p w14:paraId="556CF02B" w14:textId="77777777" w:rsidR="00FF0686" w:rsidRDefault="001B4C28"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t>As part of a joint piece of work with the</w:t>
      </w:r>
      <w:r w:rsidR="00266C04">
        <w:rPr>
          <w:rFonts w:ascii="Arial" w:hAnsi="Arial" w:cs="Arial"/>
          <w:sz w:val="22"/>
          <w:szCs w:val="22"/>
        </w:rPr>
        <w:t xml:space="preserve"> People and Places Board, we </w:t>
      </w:r>
      <w:r w:rsidR="00BD65DC" w:rsidRPr="00A712B1">
        <w:rPr>
          <w:rFonts w:ascii="Arial" w:hAnsi="Arial" w:cs="Arial"/>
          <w:sz w:val="22"/>
          <w:szCs w:val="22"/>
        </w:rPr>
        <w:t xml:space="preserve">have commissioned RAND Europe to </w:t>
      </w:r>
      <w:r w:rsidR="00266C04">
        <w:rPr>
          <w:rFonts w:ascii="Arial" w:hAnsi="Arial" w:cs="Arial"/>
          <w:sz w:val="22"/>
          <w:szCs w:val="22"/>
        </w:rPr>
        <w:t xml:space="preserve">deliver a </w:t>
      </w:r>
      <w:r w:rsidR="00266C04">
        <w:rPr>
          <w:rFonts w:ascii="Arial" w:hAnsi="Arial" w:cs="Arial"/>
          <w:szCs w:val="22"/>
        </w:rPr>
        <w:t>research project to refresh</w:t>
      </w:r>
      <w:r w:rsidR="00266C04" w:rsidRPr="00BA5773">
        <w:rPr>
          <w:rFonts w:ascii="Arial" w:hAnsi="Arial" w:cs="Arial"/>
          <w:szCs w:val="22"/>
        </w:rPr>
        <w:t xml:space="preserve"> the evidence and develop a</w:t>
      </w:r>
      <w:r w:rsidR="00266C04">
        <w:rPr>
          <w:rFonts w:ascii="Arial" w:hAnsi="Arial" w:cs="Arial"/>
          <w:szCs w:val="22"/>
        </w:rPr>
        <w:t xml:space="preserve"> model for public service transformation</w:t>
      </w:r>
      <w:r w:rsidR="00266C04" w:rsidRPr="00BA5773">
        <w:rPr>
          <w:rFonts w:ascii="Arial" w:hAnsi="Arial" w:cs="Arial"/>
          <w:szCs w:val="22"/>
        </w:rPr>
        <w:t xml:space="preserve"> across the local public sector in non-metropolitan </w:t>
      </w:r>
      <w:r w:rsidR="00266C04">
        <w:rPr>
          <w:rFonts w:ascii="Arial" w:hAnsi="Arial" w:cs="Arial"/>
          <w:szCs w:val="22"/>
        </w:rPr>
        <w:t>and city areas</w:t>
      </w:r>
      <w:r w:rsidR="00BD65DC" w:rsidRPr="00A712B1">
        <w:rPr>
          <w:rFonts w:ascii="Arial" w:hAnsi="Arial" w:cs="Arial"/>
          <w:sz w:val="22"/>
          <w:szCs w:val="22"/>
        </w:rPr>
        <w:t xml:space="preserve">.  </w:t>
      </w:r>
      <w:r w:rsidR="00103F20">
        <w:rPr>
          <w:rFonts w:ascii="Arial" w:hAnsi="Arial" w:cs="Arial"/>
          <w:sz w:val="22"/>
          <w:szCs w:val="22"/>
        </w:rPr>
        <w:t>Nine places are involved, including the West Yorkshire Combined Authority, Cambridge City Council and potentially Peterborough City Council.  The final report will be delivered in mid-February</w:t>
      </w:r>
      <w:r w:rsidRPr="00A712B1">
        <w:rPr>
          <w:rFonts w:ascii="Arial" w:hAnsi="Arial" w:cs="Arial"/>
          <w:sz w:val="22"/>
          <w:szCs w:val="22"/>
        </w:rPr>
        <w:t>.</w:t>
      </w:r>
      <w:r w:rsidR="00103F20">
        <w:rPr>
          <w:rFonts w:ascii="Arial" w:hAnsi="Arial" w:cs="Arial"/>
          <w:sz w:val="22"/>
          <w:szCs w:val="22"/>
        </w:rPr>
        <w:t xml:space="preserve">  </w:t>
      </w:r>
    </w:p>
    <w:p w14:paraId="5E0C6EC3" w14:textId="77777777" w:rsidR="00FF0686" w:rsidRPr="00FF0686" w:rsidRDefault="00FF0686" w:rsidP="00FF0686">
      <w:pPr>
        <w:pStyle w:val="ListParagraph"/>
        <w:rPr>
          <w:rFonts w:ascii="Arial" w:hAnsi="Arial" w:cs="Arial"/>
          <w:sz w:val="22"/>
          <w:szCs w:val="22"/>
        </w:rPr>
      </w:pPr>
    </w:p>
    <w:p w14:paraId="09BD5C6D" w14:textId="77777777" w:rsidR="00FF0686" w:rsidRDefault="00FF0686">
      <w:pPr>
        <w:rPr>
          <w:rFonts w:ascii="Arial" w:hAnsi="Arial" w:cs="Arial"/>
          <w:sz w:val="22"/>
          <w:szCs w:val="22"/>
        </w:rPr>
      </w:pPr>
      <w:r>
        <w:rPr>
          <w:rFonts w:ascii="Arial" w:hAnsi="Arial" w:cs="Arial"/>
          <w:sz w:val="22"/>
          <w:szCs w:val="22"/>
        </w:rPr>
        <w:br w:type="page"/>
      </w:r>
    </w:p>
    <w:p w14:paraId="02E4F5D5" w14:textId="7E2FC59F" w:rsidR="005C3D31" w:rsidRDefault="005A75DB" w:rsidP="00FF0686">
      <w:pPr>
        <w:pStyle w:val="ListParagraph"/>
        <w:numPr>
          <w:ilvl w:val="0"/>
          <w:numId w:val="8"/>
        </w:numPr>
        <w:ind w:left="567" w:hanging="567"/>
        <w:rPr>
          <w:rFonts w:ascii="Arial" w:hAnsi="Arial" w:cs="Arial"/>
          <w:sz w:val="22"/>
          <w:szCs w:val="22"/>
        </w:rPr>
      </w:pPr>
      <w:r>
        <w:rPr>
          <w:rFonts w:ascii="Arial" w:hAnsi="Arial" w:cs="Arial"/>
          <w:sz w:val="22"/>
          <w:szCs w:val="22"/>
        </w:rPr>
        <w:lastRenderedPageBreak/>
        <w:t xml:space="preserve">In December, officers met with the officials managing the Government’s Public Service Transformation Network to explore the potential for joint work to engage departments that are currently less sold on the public service reform agenda ahead of the next Spending Review. A follow-up meeting is planned for later this month.  </w:t>
      </w:r>
      <w:r w:rsidR="00103F20">
        <w:rPr>
          <w:rFonts w:ascii="Arial" w:hAnsi="Arial" w:cs="Arial"/>
          <w:sz w:val="22"/>
          <w:szCs w:val="22"/>
        </w:rPr>
        <w:t xml:space="preserve">It is proposed that a more detailed paper on the public service transformation </w:t>
      </w:r>
      <w:proofErr w:type="spellStart"/>
      <w:r w:rsidR="00103F20">
        <w:rPr>
          <w:rFonts w:ascii="Arial" w:hAnsi="Arial" w:cs="Arial"/>
          <w:sz w:val="22"/>
          <w:szCs w:val="22"/>
        </w:rPr>
        <w:t>workstrand</w:t>
      </w:r>
      <w:proofErr w:type="spellEnd"/>
      <w:r w:rsidR="00103F20">
        <w:rPr>
          <w:rFonts w:ascii="Arial" w:hAnsi="Arial" w:cs="Arial"/>
          <w:sz w:val="22"/>
          <w:szCs w:val="22"/>
        </w:rPr>
        <w:t xml:space="preserve"> be brought to the Board in March.</w:t>
      </w:r>
      <w:r w:rsidR="00D2310D">
        <w:rPr>
          <w:rFonts w:ascii="Arial" w:hAnsi="Arial" w:cs="Arial"/>
          <w:sz w:val="22"/>
          <w:szCs w:val="22"/>
        </w:rPr>
        <w:t xml:space="preserve">  </w:t>
      </w:r>
    </w:p>
    <w:p w14:paraId="02E4F5D6" w14:textId="77777777" w:rsidR="005D37E0" w:rsidRPr="00A712B1" w:rsidRDefault="005D37E0" w:rsidP="005D37E0">
      <w:pPr>
        <w:pStyle w:val="ListParagraph"/>
        <w:ind w:left="851"/>
        <w:rPr>
          <w:rFonts w:ascii="Arial" w:hAnsi="Arial" w:cs="Arial"/>
          <w:sz w:val="22"/>
          <w:szCs w:val="22"/>
        </w:rPr>
      </w:pPr>
    </w:p>
    <w:p w14:paraId="02E4F5D9" w14:textId="0A4FF2E4" w:rsidR="00E32D5B" w:rsidRPr="00FF0686" w:rsidRDefault="00EE789B" w:rsidP="00FF0686">
      <w:pPr>
        <w:pStyle w:val="ListParagraph"/>
        <w:numPr>
          <w:ilvl w:val="0"/>
          <w:numId w:val="8"/>
        </w:numPr>
        <w:ind w:left="567" w:hanging="567"/>
        <w:rPr>
          <w:rFonts w:ascii="Arial" w:hAnsi="Arial" w:cs="Arial"/>
          <w:sz w:val="22"/>
          <w:szCs w:val="22"/>
        </w:rPr>
      </w:pPr>
      <w:r w:rsidRPr="00FF0686">
        <w:rPr>
          <w:rFonts w:ascii="Arial" w:hAnsi="Arial" w:cs="Arial"/>
          <w:sz w:val="22"/>
          <w:szCs w:val="22"/>
        </w:rPr>
        <w:t xml:space="preserve">One area where </w:t>
      </w:r>
      <w:r w:rsidR="00EB49D4" w:rsidRPr="00FF0686">
        <w:rPr>
          <w:rFonts w:ascii="Arial" w:hAnsi="Arial" w:cs="Arial"/>
          <w:sz w:val="22"/>
          <w:szCs w:val="22"/>
        </w:rPr>
        <w:t xml:space="preserve">early </w:t>
      </w:r>
      <w:r w:rsidRPr="00FF0686">
        <w:rPr>
          <w:rFonts w:ascii="Arial" w:hAnsi="Arial" w:cs="Arial"/>
          <w:sz w:val="22"/>
          <w:szCs w:val="22"/>
        </w:rPr>
        <w:t xml:space="preserve">progress has been difficult is </w:t>
      </w:r>
      <w:r w:rsidR="00D2310D" w:rsidRPr="00FF0686">
        <w:rPr>
          <w:rFonts w:ascii="Arial" w:hAnsi="Arial" w:cs="Arial"/>
          <w:sz w:val="22"/>
          <w:szCs w:val="22"/>
        </w:rPr>
        <w:t xml:space="preserve">bringing </w:t>
      </w:r>
      <w:r w:rsidR="00487B0D" w:rsidRPr="00FF0686">
        <w:rPr>
          <w:rFonts w:ascii="Arial" w:hAnsi="Arial" w:cs="Arial"/>
          <w:sz w:val="22"/>
          <w:szCs w:val="22"/>
        </w:rPr>
        <w:t>an international perspective to the work programme</w:t>
      </w:r>
      <w:r w:rsidRPr="00FF0686">
        <w:rPr>
          <w:rFonts w:ascii="Arial" w:hAnsi="Arial" w:cs="Arial"/>
          <w:sz w:val="22"/>
          <w:szCs w:val="22"/>
        </w:rPr>
        <w:t>.  Whilst senior officials</w:t>
      </w:r>
      <w:r w:rsidR="005A75DB" w:rsidRPr="00FF0686">
        <w:rPr>
          <w:rFonts w:ascii="Arial" w:hAnsi="Arial" w:cs="Arial"/>
          <w:sz w:val="22"/>
          <w:szCs w:val="22"/>
        </w:rPr>
        <w:t xml:space="preserve"> at international LGAs</w:t>
      </w:r>
      <w:r w:rsidR="00E32D5B" w:rsidRPr="00FF0686">
        <w:rPr>
          <w:rFonts w:ascii="Arial" w:hAnsi="Arial" w:cs="Arial"/>
          <w:sz w:val="22"/>
          <w:szCs w:val="22"/>
        </w:rPr>
        <w:t xml:space="preserve"> committed to </w:t>
      </w:r>
      <w:r w:rsidR="00EB49D4" w:rsidRPr="00FF0686">
        <w:rPr>
          <w:rFonts w:ascii="Arial" w:hAnsi="Arial" w:cs="Arial"/>
          <w:sz w:val="22"/>
          <w:szCs w:val="22"/>
        </w:rPr>
        <w:t>support</w:t>
      </w:r>
      <w:r w:rsidR="005A75DB" w:rsidRPr="00FF0686">
        <w:rPr>
          <w:rFonts w:ascii="Arial" w:hAnsi="Arial" w:cs="Arial"/>
          <w:sz w:val="22"/>
          <w:szCs w:val="22"/>
        </w:rPr>
        <w:t>ing</w:t>
      </w:r>
      <w:r w:rsidR="00EB49D4" w:rsidRPr="00FF0686">
        <w:rPr>
          <w:rFonts w:ascii="Arial" w:hAnsi="Arial" w:cs="Arial"/>
          <w:sz w:val="22"/>
          <w:szCs w:val="22"/>
        </w:rPr>
        <w:t xml:space="preserve"> us on a peer review</w:t>
      </w:r>
      <w:r w:rsidRPr="00FF0686">
        <w:rPr>
          <w:rFonts w:ascii="Arial" w:hAnsi="Arial" w:cs="Arial"/>
          <w:sz w:val="22"/>
          <w:szCs w:val="22"/>
        </w:rPr>
        <w:t xml:space="preserve">, the ability to ensure that </w:t>
      </w:r>
      <w:r w:rsidR="00D2310D" w:rsidRPr="00FF0686">
        <w:rPr>
          <w:rFonts w:ascii="Arial" w:hAnsi="Arial" w:cs="Arial"/>
          <w:sz w:val="22"/>
          <w:szCs w:val="22"/>
        </w:rPr>
        <w:t>appropriately</w:t>
      </w:r>
      <w:r w:rsidRPr="00FF0686">
        <w:rPr>
          <w:rFonts w:ascii="Arial" w:hAnsi="Arial" w:cs="Arial"/>
          <w:sz w:val="22"/>
          <w:szCs w:val="22"/>
        </w:rPr>
        <w:t xml:space="preserve"> senior people </w:t>
      </w:r>
      <w:r w:rsidR="00D2310D" w:rsidRPr="00FF0686">
        <w:rPr>
          <w:rFonts w:ascii="Arial" w:hAnsi="Arial" w:cs="Arial"/>
          <w:sz w:val="22"/>
          <w:szCs w:val="22"/>
        </w:rPr>
        <w:t xml:space="preserve">from Canada, Germany, the Netherlands and South Africa </w:t>
      </w:r>
      <w:r w:rsidRPr="00FF0686">
        <w:rPr>
          <w:rFonts w:ascii="Arial" w:hAnsi="Arial" w:cs="Arial"/>
          <w:sz w:val="22"/>
          <w:szCs w:val="22"/>
        </w:rPr>
        <w:t>were available for three days and at the same time has proved impossible</w:t>
      </w:r>
      <w:r w:rsidR="00EB49D4" w:rsidRPr="00FF0686">
        <w:rPr>
          <w:rFonts w:ascii="Arial" w:hAnsi="Arial" w:cs="Arial"/>
          <w:sz w:val="22"/>
          <w:szCs w:val="22"/>
        </w:rPr>
        <w:t xml:space="preserve"> in the short term</w:t>
      </w:r>
      <w:r w:rsidRPr="00FF0686">
        <w:rPr>
          <w:rFonts w:ascii="Arial" w:hAnsi="Arial" w:cs="Arial"/>
          <w:sz w:val="22"/>
          <w:szCs w:val="22"/>
        </w:rPr>
        <w:t>.  Feedback from the other associations is</w:t>
      </w:r>
      <w:r w:rsidR="00FF0686">
        <w:rPr>
          <w:rFonts w:ascii="Arial" w:hAnsi="Arial" w:cs="Arial"/>
          <w:sz w:val="22"/>
          <w:szCs w:val="22"/>
        </w:rPr>
        <w:t xml:space="preserve"> that</w:t>
      </w:r>
      <w:bookmarkStart w:id="0" w:name="_GoBack"/>
      <w:bookmarkEnd w:id="0"/>
      <w:r w:rsidRPr="00FF0686">
        <w:rPr>
          <w:rFonts w:ascii="Arial" w:hAnsi="Arial" w:cs="Arial"/>
          <w:sz w:val="22"/>
          <w:szCs w:val="22"/>
        </w:rPr>
        <w:t xml:space="preserve"> it would be easier to develop some bilateral work rather than using the tool of a peer review to focus the international perspective</w:t>
      </w:r>
      <w:r w:rsidR="00EB49D4" w:rsidRPr="00FF0686">
        <w:rPr>
          <w:rFonts w:ascii="Arial" w:hAnsi="Arial" w:cs="Arial"/>
          <w:sz w:val="22"/>
          <w:szCs w:val="22"/>
        </w:rPr>
        <w:t xml:space="preserve">. </w:t>
      </w:r>
      <w:r w:rsidR="00487B0D" w:rsidRPr="00FF0686">
        <w:rPr>
          <w:rFonts w:ascii="Arial" w:hAnsi="Arial" w:cs="Arial"/>
          <w:sz w:val="22"/>
          <w:szCs w:val="22"/>
        </w:rPr>
        <w:t xml:space="preserve"> </w:t>
      </w:r>
      <w:r w:rsidR="00D2310D" w:rsidRPr="00FF0686">
        <w:rPr>
          <w:rFonts w:ascii="Arial" w:hAnsi="Arial" w:cs="Arial"/>
          <w:sz w:val="22"/>
          <w:szCs w:val="22"/>
        </w:rPr>
        <w:t>Lead members have agreed to put this project on hold for this year.  In the meantime, we are liaising with the Organisation for Economic Co-operation and Development to explore the scope for City Regions Board involvement in a conference on local economic development that they are holding in England this June.</w:t>
      </w:r>
    </w:p>
    <w:p w14:paraId="02D63948" w14:textId="77777777" w:rsidR="00B765CD" w:rsidRPr="00FF0686" w:rsidRDefault="00B765CD" w:rsidP="00FF0686">
      <w:pPr>
        <w:pStyle w:val="ListParagraph"/>
        <w:ind w:left="567" w:hanging="567"/>
        <w:rPr>
          <w:rFonts w:ascii="Arial" w:hAnsi="Arial" w:cs="Arial"/>
          <w:sz w:val="22"/>
          <w:szCs w:val="22"/>
        </w:rPr>
      </w:pPr>
    </w:p>
    <w:p w14:paraId="52C8F7C6" w14:textId="0202E71C" w:rsidR="00B765CD" w:rsidRPr="00FF0686" w:rsidRDefault="00B765CD" w:rsidP="00FF0686">
      <w:pPr>
        <w:pStyle w:val="ListParagraph"/>
        <w:numPr>
          <w:ilvl w:val="0"/>
          <w:numId w:val="8"/>
        </w:numPr>
        <w:ind w:left="567" w:hanging="567"/>
        <w:rPr>
          <w:rFonts w:ascii="Arial" w:hAnsi="Arial" w:cs="Arial"/>
          <w:sz w:val="22"/>
          <w:szCs w:val="22"/>
        </w:rPr>
      </w:pPr>
      <w:r w:rsidRPr="00FF0686">
        <w:rPr>
          <w:rFonts w:ascii="Arial" w:hAnsi="Arial" w:cs="Arial"/>
          <w:sz w:val="22"/>
          <w:szCs w:val="22"/>
        </w:rPr>
        <w:t>Last month, the Government set out its intention to reform the legislation related to combined authorities and economic prosperity boards.  Officers are now analysing the proposals in more detail and have sought views from Core Cities, Key Cities, London Councils, the District Councils Network and the County Councils Network.  The LGA response will be jointly cleared through lead members of the City Regions and People and Places boards.  The consultation closes on 26 January</w:t>
      </w:r>
      <w:r w:rsidR="00D91B6F" w:rsidRPr="00FF0686">
        <w:rPr>
          <w:rFonts w:ascii="Arial" w:hAnsi="Arial" w:cs="Arial"/>
          <w:sz w:val="22"/>
          <w:szCs w:val="22"/>
        </w:rPr>
        <w:t>.</w:t>
      </w:r>
      <w:r w:rsidR="00D91B6F" w:rsidRPr="00FF0686">
        <w:rPr>
          <w:rStyle w:val="FootnoteReference"/>
          <w:rFonts w:ascii="Arial" w:hAnsi="Arial" w:cs="Arial"/>
          <w:sz w:val="22"/>
          <w:szCs w:val="22"/>
        </w:rPr>
        <w:footnoteReference w:id="1"/>
      </w:r>
    </w:p>
    <w:p w14:paraId="02E4F5DA" w14:textId="77777777" w:rsidR="00EE789B" w:rsidRDefault="00EE789B" w:rsidP="00EE789B">
      <w:pPr>
        <w:pStyle w:val="ListParagraph"/>
        <w:ind w:left="360"/>
        <w:rPr>
          <w:rFonts w:ascii="Arial" w:hAnsi="Arial" w:cs="Arial"/>
          <w:i/>
          <w:sz w:val="22"/>
          <w:szCs w:val="22"/>
        </w:rPr>
      </w:pPr>
    </w:p>
    <w:p w14:paraId="02E4F5DB" w14:textId="77777777" w:rsidR="00E32D5B" w:rsidRDefault="00E32D5B" w:rsidP="00E32D5B">
      <w:pPr>
        <w:rPr>
          <w:rFonts w:ascii="Arial" w:hAnsi="Arial" w:cs="Arial"/>
          <w:b/>
          <w:sz w:val="22"/>
          <w:szCs w:val="22"/>
        </w:rPr>
      </w:pPr>
      <w:r w:rsidRPr="00FF0686">
        <w:rPr>
          <w:rFonts w:ascii="Arial" w:hAnsi="Arial" w:cs="Arial"/>
          <w:b/>
          <w:sz w:val="22"/>
          <w:szCs w:val="22"/>
        </w:rPr>
        <w:t>Skills, Employment and Welfare Reform</w:t>
      </w:r>
    </w:p>
    <w:p w14:paraId="6602931B" w14:textId="77777777" w:rsidR="00FF0686" w:rsidRPr="00FF0686" w:rsidRDefault="00FF0686" w:rsidP="00E32D5B">
      <w:pPr>
        <w:rPr>
          <w:rFonts w:ascii="Arial" w:hAnsi="Arial" w:cs="Arial"/>
          <w:b/>
          <w:sz w:val="22"/>
          <w:szCs w:val="22"/>
        </w:rPr>
      </w:pPr>
    </w:p>
    <w:p w14:paraId="02E4F5DC" w14:textId="77777777" w:rsidR="006540E5" w:rsidRDefault="00487B0D" w:rsidP="005D37E0">
      <w:pPr>
        <w:pStyle w:val="ListParagraph"/>
        <w:numPr>
          <w:ilvl w:val="0"/>
          <w:numId w:val="8"/>
        </w:numPr>
        <w:ind w:left="426" w:hanging="426"/>
        <w:rPr>
          <w:rFonts w:ascii="Arial" w:hAnsi="Arial" w:cs="Arial"/>
          <w:sz w:val="22"/>
          <w:szCs w:val="22"/>
        </w:rPr>
      </w:pPr>
      <w:r w:rsidRPr="00A712B1">
        <w:rPr>
          <w:rFonts w:ascii="Arial" w:hAnsi="Arial" w:cs="Arial"/>
          <w:sz w:val="22"/>
          <w:szCs w:val="22"/>
        </w:rPr>
        <w:t>The key objective here is to influence the re-letti</w:t>
      </w:r>
      <w:r w:rsidR="00EB49D4" w:rsidRPr="00A712B1">
        <w:rPr>
          <w:rFonts w:ascii="Arial" w:hAnsi="Arial" w:cs="Arial"/>
          <w:sz w:val="22"/>
          <w:szCs w:val="22"/>
        </w:rPr>
        <w:t>ng of the work programme in 2017</w:t>
      </w:r>
      <w:r w:rsidRPr="00A712B1">
        <w:rPr>
          <w:rFonts w:ascii="Arial" w:hAnsi="Arial" w:cs="Arial"/>
          <w:sz w:val="22"/>
          <w:szCs w:val="22"/>
        </w:rPr>
        <w:t xml:space="preserve"> to ensure that an integrated local model of delivery for skills,</w:t>
      </w:r>
      <w:r w:rsidR="006540E5" w:rsidRPr="00A712B1">
        <w:rPr>
          <w:rFonts w:ascii="Arial" w:hAnsi="Arial" w:cs="Arial"/>
          <w:sz w:val="22"/>
          <w:szCs w:val="22"/>
        </w:rPr>
        <w:t xml:space="preserve"> </w:t>
      </w:r>
      <w:r w:rsidRPr="00A712B1">
        <w:rPr>
          <w:rFonts w:ascii="Arial" w:hAnsi="Arial" w:cs="Arial"/>
          <w:sz w:val="22"/>
          <w:szCs w:val="22"/>
        </w:rPr>
        <w:t>em</w:t>
      </w:r>
      <w:r w:rsidR="006540E5" w:rsidRPr="00A712B1">
        <w:rPr>
          <w:rFonts w:ascii="Arial" w:hAnsi="Arial" w:cs="Arial"/>
          <w:sz w:val="22"/>
          <w:szCs w:val="22"/>
        </w:rPr>
        <w:t xml:space="preserve">ployment and welfare is </w:t>
      </w:r>
      <w:r w:rsidRPr="00A712B1">
        <w:rPr>
          <w:rFonts w:ascii="Arial" w:hAnsi="Arial" w:cs="Arial"/>
          <w:sz w:val="22"/>
          <w:szCs w:val="22"/>
        </w:rPr>
        <w:t xml:space="preserve">favoured by ministers.  </w:t>
      </w:r>
    </w:p>
    <w:p w14:paraId="02E4F5DD" w14:textId="77777777" w:rsidR="005D37E0" w:rsidRPr="00A712B1" w:rsidRDefault="005D37E0" w:rsidP="00E32D5B">
      <w:pPr>
        <w:rPr>
          <w:rFonts w:ascii="Arial" w:hAnsi="Arial" w:cs="Arial"/>
          <w:sz w:val="22"/>
          <w:szCs w:val="22"/>
        </w:rPr>
      </w:pPr>
    </w:p>
    <w:p w14:paraId="02E4F5DE" w14:textId="53B6FF04" w:rsidR="00E32D5B" w:rsidRDefault="00E32D5B"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t>We have commissioned CESI to provide a</w:t>
      </w:r>
      <w:r w:rsidR="00E63443" w:rsidRPr="00A712B1">
        <w:rPr>
          <w:rFonts w:ascii="Arial" w:hAnsi="Arial" w:cs="Arial"/>
          <w:sz w:val="22"/>
          <w:szCs w:val="22"/>
        </w:rPr>
        <w:t xml:space="preserve"> series of reports</w:t>
      </w:r>
      <w:r w:rsidRPr="00A712B1">
        <w:rPr>
          <w:rFonts w:ascii="Arial" w:hAnsi="Arial" w:cs="Arial"/>
          <w:sz w:val="22"/>
          <w:szCs w:val="22"/>
        </w:rPr>
        <w:t xml:space="preserve"> which sets out the future skills and employment challenges that will hit the desk of an incoming (or returning) minister.  </w:t>
      </w:r>
      <w:r w:rsidR="00E63443" w:rsidRPr="00A712B1">
        <w:rPr>
          <w:rFonts w:ascii="Arial" w:hAnsi="Arial" w:cs="Arial"/>
          <w:sz w:val="22"/>
          <w:szCs w:val="22"/>
        </w:rPr>
        <w:t xml:space="preserve">The first report </w:t>
      </w:r>
      <w:r w:rsidR="0079040A" w:rsidRPr="00A712B1">
        <w:rPr>
          <w:rFonts w:ascii="Arial" w:hAnsi="Arial" w:cs="Arial"/>
          <w:sz w:val="22"/>
          <w:szCs w:val="22"/>
        </w:rPr>
        <w:t>(</w:t>
      </w:r>
      <w:r w:rsidR="00E63443" w:rsidRPr="00A712B1">
        <w:rPr>
          <w:rFonts w:ascii="Arial" w:hAnsi="Arial" w:cs="Arial"/>
          <w:sz w:val="22"/>
          <w:szCs w:val="22"/>
        </w:rPr>
        <w:t xml:space="preserve">which was presented </w:t>
      </w:r>
      <w:r w:rsidR="004A400C" w:rsidRPr="00A712B1">
        <w:rPr>
          <w:rFonts w:ascii="Arial" w:hAnsi="Arial" w:cs="Arial"/>
          <w:sz w:val="22"/>
          <w:szCs w:val="22"/>
        </w:rPr>
        <w:t>to members of the Board in July</w:t>
      </w:r>
      <w:r w:rsidR="0079040A" w:rsidRPr="00A712B1">
        <w:rPr>
          <w:rFonts w:ascii="Arial" w:hAnsi="Arial" w:cs="Arial"/>
          <w:sz w:val="22"/>
          <w:szCs w:val="22"/>
        </w:rPr>
        <w:t xml:space="preserve">) </w:t>
      </w:r>
      <w:r w:rsidR="00E63443" w:rsidRPr="00A712B1">
        <w:rPr>
          <w:rFonts w:ascii="Arial" w:hAnsi="Arial" w:cs="Arial"/>
          <w:sz w:val="22"/>
          <w:szCs w:val="22"/>
        </w:rPr>
        <w:t xml:space="preserve">focused on place and </w:t>
      </w:r>
      <w:r w:rsidR="00AD0FA3" w:rsidRPr="00A712B1">
        <w:rPr>
          <w:rFonts w:ascii="Arial" w:hAnsi="Arial" w:cs="Arial"/>
          <w:sz w:val="22"/>
          <w:szCs w:val="22"/>
        </w:rPr>
        <w:t xml:space="preserve">looked at whether </w:t>
      </w:r>
      <w:r w:rsidR="00E63443" w:rsidRPr="00A712B1">
        <w:rPr>
          <w:rFonts w:ascii="Arial" w:hAnsi="Arial" w:cs="Arial"/>
          <w:sz w:val="22"/>
          <w:szCs w:val="22"/>
        </w:rPr>
        <w:t xml:space="preserve">current </w:t>
      </w:r>
      <w:r w:rsidR="00AD0FA3" w:rsidRPr="00A712B1">
        <w:rPr>
          <w:rFonts w:ascii="Arial" w:hAnsi="Arial" w:cs="Arial"/>
          <w:sz w:val="22"/>
          <w:szCs w:val="22"/>
        </w:rPr>
        <w:t xml:space="preserve">employment and skills </w:t>
      </w:r>
      <w:r w:rsidR="00E63443" w:rsidRPr="00A712B1">
        <w:rPr>
          <w:rFonts w:ascii="Arial" w:hAnsi="Arial" w:cs="Arial"/>
          <w:sz w:val="22"/>
          <w:szCs w:val="22"/>
        </w:rPr>
        <w:t>policy</w:t>
      </w:r>
      <w:r w:rsidR="004A400C" w:rsidRPr="00A712B1">
        <w:rPr>
          <w:rFonts w:ascii="Arial" w:hAnsi="Arial" w:cs="Arial"/>
          <w:sz w:val="22"/>
          <w:szCs w:val="22"/>
        </w:rPr>
        <w:t xml:space="preserve"> would deliver skills for future jobs in a range of cities</w:t>
      </w:r>
      <w:r w:rsidR="00E63443" w:rsidRPr="00A712B1">
        <w:rPr>
          <w:rFonts w:ascii="Arial" w:hAnsi="Arial" w:cs="Arial"/>
          <w:sz w:val="22"/>
          <w:szCs w:val="22"/>
        </w:rPr>
        <w:t xml:space="preserve">. </w:t>
      </w:r>
      <w:r w:rsidR="000A2BAA" w:rsidRPr="00A712B1">
        <w:rPr>
          <w:rFonts w:ascii="Arial" w:hAnsi="Arial" w:cs="Arial"/>
          <w:sz w:val="22"/>
          <w:szCs w:val="22"/>
        </w:rPr>
        <w:t>A second report</w:t>
      </w:r>
      <w:r w:rsidR="00AD0FA3" w:rsidRPr="00A712B1">
        <w:rPr>
          <w:rFonts w:ascii="Arial" w:hAnsi="Arial" w:cs="Arial"/>
          <w:sz w:val="22"/>
          <w:szCs w:val="22"/>
        </w:rPr>
        <w:t xml:space="preserve"> from </w:t>
      </w:r>
      <w:r w:rsidR="00E8420B" w:rsidRPr="00A712B1">
        <w:rPr>
          <w:rFonts w:ascii="Arial" w:hAnsi="Arial" w:cs="Arial"/>
          <w:sz w:val="22"/>
          <w:szCs w:val="22"/>
        </w:rPr>
        <w:t>Centre for Economic and Social Inclusion (</w:t>
      </w:r>
      <w:r w:rsidR="00AD0FA3" w:rsidRPr="00A712B1">
        <w:rPr>
          <w:rFonts w:ascii="Arial" w:hAnsi="Arial" w:cs="Arial"/>
          <w:sz w:val="22"/>
          <w:szCs w:val="22"/>
        </w:rPr>
        <w:t>CESI</w:t>
      </w:r>
      <w:r w:rsidR="00E8420B" w:rsidRPr="00A712B1">
        <w:rPr>
          <w:rFonts w:ascii="Arial" w:hAnsi="Arial" w:cs="Arial"/>
          <w:sz w:val="22"/>
          <w:szCs w:val="22"/>
        </w:rPr>
        <w:t>)</w:t>
      </w:r>
      <w:r w:rsidR="00AD0FA3" w:rsidRPr="00A712B1">
        <w:rPr>
          <w:rFonts w:ascii="Arial" w:hAnsi="Arial" w:cs="Arial"/>
          <w:sz w:val="22"/>
          <w:szCs w:val="22"/>
        </w:rPr>
        <w:t xml:space="preserve"> </w:t>
      </w:r>
      <w:r w:rsidR="000A2BAA" w:rsidRPr="00A712B1">
        <w:rPr>
          <w:rFonts w:ascii="Arial" w:hAnsi="Arial" w:cs="Arial"/>
          <w:sz w:val="22"/>
          <w:szCs w:val="22"/>
        </w:rPr>
        <w:t>is currently being finalised</w:t>
      </w:r>
      <w:r w:rsidR="00AD0FA3" w:rsidRPr="00A712B1">
        <w:rPr>
          <w:rFonts w:ascii="Arial" w:hAnsi="Arial" w:cs="Arial"/>
          <w:sz w:val="22"/>
          <w:szCs w:val="22"/>
        </w:rPr>
        <w:t xml:space="preserve"> which looks at the current employment programmes from the perspective of individuals</w:t>
      </w:r>
      <w:r w:rsidR="00022C7C" w:rsidRPr="00A712B1">
        <w:rPr>
          <w:rFonts w:ascii="Arial" w:hAnsi="Arial" w:cs="Arial"/>
          <w:sz w:val="22"/>
          <w:szCs w:val="22"/>
        </w:rPr>
        <w:t xml:space="preserve">.  </w:t>
      </w:r>
      <w:r w:rsidR="005A75DB">
        <w:rPr>
          <w:rFonts w:ascii="Arial" w:hAnsi="Arial" w:cs="Arial"/>
          <w:sz w:val="22"/>
          <w:szCs w:val="22"/>
        </w:rPr>
        <w:t>This will be presented to this Board meeting</w:t>
      </w:r>
      <w:r w:rsidR="000A2BAA" w:rsidRPr="00A712B1">
        <w:rPr>
          <w:rFonts w:ascii="Arial" w:hAnsi="Arial" w:cs="Arial"/>
          <w:sz w:val="22"/>
          <w:szCs w:val="22"/>
        </w:rPr>
        <w:t xml:space="preserve">. </w:t>
      </w:r>
      <w:r w:rsidR="00AD0FA3" w:rsidRPr="00A712B1">
        <w:rPr>
          <w:rFonts w:ascii="Arial" w:hAnsi="Arial" w:cs="Arial"/>
          <w:sz w:val="22"/>
          <w:szCs w:val="22"/>
        </w:rPr>
        <w:t>There will be a final report from CESI giving con</w:t>
      </w:r>
      <w:r w:rsidR="000A2BAA" w:rsidRPr="00A712B1">
        <w:rPr>
          <w:rFonts w:ascii="Arial" w:hAnsi="Arial" w:cs="Arial"/>
          <w:sz w:val="22"/>
          <w:szCs w:val="22"/>
        </w:rPr>
        <w:t>clusions to the research papers will be delivered in March, after a steer f</w:t>
      </w:r>
      <w:r w:rsidR="005A75DB">
        <w:rPr>
          <w:rFonts w:ascii="Arial" w:hAnsi="Arial" w:cs="Arial"/>
          <w:sz w:val="22"/>
          <w:szCs w:val="22"/>
        </w:rPr>
        <w:t>rom members</w:t>
      </w:r>
      <w:r w:rsidR="000A2BAA" w:rsidRPr="00A712B1">
        <w:rPr>
          <w:rFonts w:ascii="Arial" w:hAnsi="Arial" w:cs="Arial"/>
          <w:sz w:val="22"/>
          <w:szCs w:val="22"/>
        </w:rPr>
        <w:t>.</w:t>
      </w:r>
    </w:p>
    <w:p w14:paraId="02E4F5DF" w14:textId="77777777" w:rsidR="005D37E0" w:rsidRPr="00A712B1" w:rsidRDefault="005D37E0" w:rsidP="00FF0686">
      <w:pPr>
        <w:pStyle w:val="ListParagraph"/>
        <w:ind w:left="567" w:hanging="567"/>
        <w:rPr>
          <w:rFonts w:ascii="Arial" w:hAnsi="Arial" w:cs="Arial"/>
          <w:sz w:val="22"/>
          <w:szCs w:val="22"/>
        </w:rPr>
      </w:pPr>
    </w:p>
    <w:p w14:paraId="5B03E624" w14:textId="77777777" w:rsidR="00FF0686" w:rsidRDefault="00FF0686">
      <w:pPr>
        <w:rPr>
          <w:rFonts w:ascii="Arial" w:hAnsi="Arial" w:cs="Arial"/>
          <w:sz w:val="22"/>
          <w:szCs w:val="22"/>
        </w:rPr>
      </w:pPr>
      <w:r>
        <w:rPr>
          <w:rFonts w:ascii="Arial" w:hAnsi="Arial" w:cs="Arial"/>
          <w:sz w:val="22"/>
          <w:szCs w:val="22"/>
        </w:rPr>
        <w:br w:type="page"/>
      </w:r>
    </w:p>
    <w:p w14:paraId="02E4F5E0" w14:textId="408F7838" w:rsidR="000A2BAA" w:rsidRDefault="00E94219"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lastRenderedPageBreak/>
        <w:t xml:space="preserve">We have commissioned National Institute of Economic Research </w:t>
      </w:r>
      <w:r w:rsidR="00E8420B" w:rsidRPr="00A712B1">
        <w:rPr>
          <w:rFonts w:ascii="Arial" w:hAnsi="Arial" w:cs="Arial"/>
          <w:sz w:val="22"/>
          <w:szCs w:val="22"/>
        </w:rPr>
        <w:t xml:space="preserve">(NIESR) </w:t>
      </w:r>
      <w:r w:rsidRPr="00A712B1">
        <w:rPr>
          <w:rFonts w:ascii="Arial" w:hAnsi="Arial" w:cs="Arial"/>
          <w:sz w:val="22"/>
          <w:szCs w:val="22"/>
        </w:rPr>
        <w:t xml:space="preserve">to </w:t>
      </w:r>
      <w:r w:rsidR="000A2BAA" w:rsidRPr="00A712B1">
        <w:rPr>
          <w:rFonts w:ascii="Arial" w:hAnsi="Arial" w:cs="Arial"/>
          <w:sz w:val="22"/>
          <w:szCs w:val="22"/>
        </w:rPr>
        <w:t>review the advantages of local delivery from the many local employment projects</w:t>
      </w:r>
      <w:r w:rsidRPr="00A712B1">
        <w:rPr>
          <w:rFonts w:ascii="Arial" w:hAnsi="Arial" w:cs="Arial"/>
          <w:sz w:val="22"/>
          <w:szCs w:val="22"/>
        </w:rPr>
        <w:t>.</w:t>
      </w:r>
      <w:r w:rsidR="000A2BAA" w:rsidRPr="00A712B1">
        <w:rPr>
          <w:rFonts w:ascii="Arial" w:hAnsi="Arial" w:cs="Arial"/>
          <w:sz w:val="22"/>
          <w:szCs w:val="22"/>
        </w:rPr>
        <w:t xml:space="preserve">  This work is currently being completed and will be available this month.  NIESR will </w:t>
      </w:r>
      <w:r w:rsidR="005A75DB">
        <w:rPr>
          <w:rFonts w:ascii="Arial" w:hAnsi="Arial" w:cs="Arial"/>
          <w:sz w:val="22"/>
          <w:szCs w:val="22"/>
        </w:rPr>
        <w:t xml:space="preserve">also be </w:t>
      </w:r>
      <w:r w:rsidR="000A2BAA" w:rsidRPr="00A712B1">
        <w:rPr>
          <w:rFonts w:ascii="Arial" w:hAnsi="Arial" w:cs="Arial"/>
          <w:sz w:val="22"/>
          <w:szCs w:val="22"/>
        </w:rPr>
        <w:t>attend</w:t>
      </w:r>
      <w:r w:rsidR="005A75DB">
        <w:rPr>
          <w:rFonts w:ascii="Arial" w:hAnsi="Arial" w:cs="Arial"/>
          <w:sz w:val="22"/>
          <w:szCs w:val="22"/>
        </w:rPr>
        <w:t>ing this m</w:t>
      </w:r>
      <w:r w:rsidR="000A2BAA" w:rsidRPr="00A712B1">
        <w:rPr>
          <w:rFonts w:ascii="Arial" w:hAnsi="Arial" w:cs="Arial"/>
          <w:sz w:val="22"/>
          <w:szCs w:val="22"/>
        </w:rPr>
        <w:t>eeting to present findings.</w:t>
      </w:r>
    </w:p>
    <w:p w14:paraId="02E4F5E1" w14:textId="77777777" w:rsidR="005D37E0" w:rsidRPr="00A712B1" w:rsidRDefault="005D37E0" w:rsidP="005D37E0">
      <w:pPr>
        <w:pStyle w:val="ListParagraph"/>
        <w:ind w:left="851"/>
        <w:rPr>
          <w:rFonts w:ascii="Arial" w:hAnsi="Arial" w:cs="Arial"/>
          <w:sz w:val="22"/>
          <w:szCs w:val="22"/>
        </w:rPr>
      </w:pPr>
    </w:p>
    <w:p w14:paraId="4F9FA2C0" w14:textId="77777777" w:rsidR="00A15B6D" w:rsidRPr="00A15B6D" w:rsidRDefault="00A15B6D" w:rsidP="00FF0686">
      <w:pPr>
        <w:pStyle w:val="ListParagraph"/>
        <w:numPr>
          <w:ilvl w:val="0"/>
          <w:numId w:val="8"/>
        </w:numPr>
        <w:ind w:left="567" w:hanging="567"/>
        <w:rPr>
          <w:rFonts w:ascii="Arial" w:hAnsi="Arial" w:cs="Arial"/>
          <w:sz w:val="22"/>
          <w:szCs w:val="22"/>
        </w:rPr>
      </w:pPr>
      <w:r w:rsidRPr="00A15B6D">
        <w:rPr>
          <w:rFonts w:ascii="Arial" w:hAnsi="Arial" w:cs="Arial"/>
          <w:sz w:val="22"/>
          <w:szCs w:val="22"/>
        </w:rPr>
        <w:t xml:space="preserve">From this CESI and NIESR research delivered to date, and following Board members recommendations on next steps, we will develop further  steps in </w:t>
      </w:r>
      <w:proofErr w:type="gramStart"/>
      <w:r w:rsidRPr="00A15B6D">
        <w:rPr>
          <w:rFonts w:ascii="Arial" w:hAnsi="Arial" w:cs="Arial"/>
          <w:sz w:val="22"/>
          <w:szCs w:val="22"/>
        </w:rPr>
        <w:t>discussion</w:t>
      </w:r>
      <w:proofErr w:type="gramEnd"/>
      <w:r w:rsidRPr="00A15B6D">
        <w:rPr>
          <w:rFonts w:ascii="Arial" w:hAnsi="Arial" w:cs="Arial"/>
          <w:sz w:val="22"/>
          <w:szCs w:val="22"/>
        </w:rPr>
        <w:t xml:space="preserve"> with our Chief executive advisers, and bring this back to the Board’s attention.</w:t>
      </w:r>
    </w:p>
    <w:p w14:paraId="02E4F5E3" w14:textId="77777777" w:rsidR="004A400C" w:rsidRPr="00A712B1" w:rsidRDefault="004A400C" w:rsidP="00AD0FA3">
      <w:pPr>
        <w:pStyle w:val="ListParagraph"/>
        <w:rPr>
          <w:rFonts w:ascii="Arial" w:hAnsi="Arial" w:cs="Arial"/>
          <w:sz w:val="22"/>
          <w:szCs w:val="22"/>
        </w:rPr>
      </w:pPr>
    </w:p>
    <w:p w14:paraId="02E4F5E4" w14:textId="77777777" w:rsidR="00AD0FA3" w:rsidRDefault="00AD0FA3" w:rsidP="00E32D5B">
      <w:pPr>
        <w:rPr>
          <w:rFonts w:ascii="Arial" w:hAnsi="Arial" w:cs="Arial"/>
          <w:b/>
          <w:sz w:val="22"/>
          <w:szCs w:val="22"/>
        </w:rPr>
      </w:pPr>
      <w:r w:rsidRPr="00FF0686">
        <w:rPr>
          <w:rFonts w:ascii="Arial" w:hAnsi="Arial" w:cs="Arial"/>
          <w:b/>
          <w:sz w:val="22"/>
          <w:szCs w:val="22"/>
        </w:rPr>
        <w:t>Trade</w:t>
      </w:r>
      <w:r w:rsidR="002B0FB7" w:rsidRPr="00FF0686">
        <w:rPr>
          <w:rFonts w:ascii="Arial" w:hAnsi="Arial" w:cs="Arial"/>
          <w:b/>
          <w:sz w:val="22"/>
          <w:szCs w:val="22"/>
        </w:rPr>
        <w:t xml:space="preserve"> and investment</w:t>
      </w:r>
    </w:p>
    <w:p w14:paraId="3FA0DF33" w14:textId="77777777" w:rsidR="00FF0686" w:rsidRPr="00FF0686" w:rsidRDefault="00FF0686" w:rsidP="00E32D5B">
      <w:pPr>
        <w:rPr>
          <w:rFonts w:ascii="Arial" w:hAnsi="Arial" w:cs="Arial"/>
          <w:b/>
          <w:sz w:val="22"/>
          <w:szCs w:val="22"/>
        </w:rPr>
      </w:pPr>
    </w:p>
    <w:p w14:paraId="02E4F5E5" w14:textId="77777777" w:rsidR="005D37E0" w:rsidRDefault="00930F61" w:rsidP="00FF0686">
      <w:pPr>
        <w:pStyle w:val="ListParagraph"/>
        <w:numPr>
          <w:ilvl w:val="0"/>
          <w:numId w:val="8"/>
        </w:numPr>
        <w:ind w:left="567" w:hanging="567"/>
        <w:rPr>
          <w:rFonts w:ascii="Arial" w:hAnsi="Arial" w:cs="Arial"/>
          <w:sz w:val="22"/>
          <w:szCs w:val="22"/>
        </w:rPr>
      </w:pPr>
      <w:r w:rsidRPr="007972CF">
        <w:rPr>
          <w:rFonts w:ascii="Arial" w:hAnsi="Arial" w:cs="Arial"/>
          <w:sz w:val="22"/>
          <w:szCs w:val="22"/>
        </w:rPr>
        <w:t>T</w:t>
      </w:r>
      <w:r w:rsidR="00340A89" w:rsidRPr="007972CF">
        <w:rPr>
          <w:rFonts w:ascii="Arial" w:hAnsi="Arial" w:cs="Arial"/>
          <w:sz w:val="22"/>
          <w:szCs w:val="22"/>
        </w:rPr>
        <w:t>he</w:t>
      </w:r>
      <w:r w:rsidR="00E94219" w:rsidRPr="007972CF">
        <w:rPr>
          <w:rFonts w:ascii="Arial" w:hAnsi="Arial" w:cs="Arial"/>
          <w:sz w:val="22"/>
          <w:szCs w:val="22"/>
        </w:rPr>
        <w:t xml:space="preserve"> research</w:t>
      </w:r>
      <w:r w:rsidR="00576170" w:rsidRPr="007972CF">
        <w:rPr>
          <w:rFonts w:ascii="Arial" w:hAnsi="Arial" w:cs="Arial"/>
          <w:sz w:val="22"/>
          <w:szCs w:val="22"/>
        </w:rPr>
        <w:t xml:space="preserve"> on trends and future projections in trade and investment that</w:t>
      </w:r>
      <w:r w:rsidR="00E94219" w:rsidRPr="007972CF">
        <w:rPr>
          <w:rFonts w:ascii="Arial" w:hAnsi="Arial" w:cs="Arial"/>
          <w:sz w:val="22"/>
          <w:szCs w:val="22"/>
        </w:rPr>
        <w:t xml:space="preserve"> </w:t>
      </w:r>
      <w:r w:rsidR="00576170" w:rsidRPr="007972CF">
        <w:rPr>
          <w:rFonts w:ascii="Arial" w:hAnsi="Arial" w:cs="Arial"/>
          <w:sz w:val="22"/>
          <w:szCs w:val="22"/>
        </w:rPr>
        <w:t xml:space="preserve">we have commissioned from Oxford Economics </w:t>
      </w:r>
      <w:r w:rsidR="007972CF" w:rsidRPr="007972CF">
        <w:rPr>
          <w:rFonts w:ascii="Arial" w:hAnsi="Arial" w:cs="Arial"/>
          <w:sz w:val="22"/>
          <w:szCs w:val="22"/>
        </w:rPr>
        <w:t>has been delivered and is covered in more detail at item 5</w:t>
      </w:r>
      <w:r w:rsidR="00576170" w:rsidRPr="007972CF">
        <w:rPr>
          <w:rFonts w:ascii="Arial" w:hAnsi="Arial" w:cs="Arial"/>
          <w:sz w:val="22"/>
          <w:szCs w:val="22"/>
        </w:rPr>
        <w:t xml:space="preserve">.  </w:t>
      </w:r>
      <w:r w:rsidR="00266303" w:rsidRPr="007972CF">
        <w:rPr>
          <w:rFonts w:ascii="Arial" w:hAnsi="Arial" w:cs="Arial"/>
          <w:sz w:val="22"/>
          <w:szCs w:val="22"/>
        </w:rPr>
        <w:t xml:space="preserve">Their initial findings show that there is indeed cause for concern about the UK’s future performance.  It also indicates that there are strong trade flows between some places outside the South East in the international context that we should be building on.  </w:t>
      </w:r>
    </w:p>
    <w:p w14:paraId="02E4F5E6" w14:textId="77777777" w:rsidR="007972CF" w:rsidRPr="007972CF" w:rsidRDefault="007972CF" w:rsidP="00FF0686">
      <w:pPr>
        <w:pStyle w:val="ListParagraph"/>
        <w:ind w:left="567" w:hanging="567"/>
        <w:rPr>
          <w:rFonts w:ascii="Arial" w:hAnsi="Arial" w:cs="Arial"/>
          <w:sz w:val="22"/>
          <w:szCs w:val="22"/>
        </w:rPr>
      </w:pPr>
    </w:p>
    <w:p w14:paraId="02E4F5E7" w14:textId="77777777" w:rsidR="00E17CBF" w:rsidRDefault="00266303"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t xml:space="preserve">This research </w:t>
      </w:r>
      <w:r w:rsidR="00E17CBF" w:rsidRPr="00A712B1">
        <w:rPr>
          <w:rFonts w:ascii="Arial" w:hAnsi="Arial" w:cs="Arial"/>
          <w:sz w:val="22"/>
          <w:szCs w:val="22"/>
        </w:rPr>
        <w:t xml:space="preserve">looks set to position us nicely for the next phase of work. </w:t>
      </w:r>
      <w:r w:rsidRPr="00A712B1">
        <w:rPr>
          <w:rFonts w:ascii="Arial" w:hAnsi="Arial" w:cs="Arial"/>
          <w:sz w:val="22"/>
          <w:szCs w:val="22"/>
        </w:rPr>
        <w:t>We are working with a range of cities and city regions to develop the main tenets of a city-based trade and investment offer and importantly, what this means for future BIS and UKTI policy and operations decisions.</w:t>
      </w:r>
    </w:p>
    <w:p w14:paraId="02E4F5E8" w14:textId="77777777" w:rsidR="005D37E0" w:rsidRPr="00A712B1" w:rsidRDefault="005D37E0" w:rsidP="00FF0686">
      <w:pPr>
        <w:pStyle w:val="ListParagraph"/>
        <w:ind w:left="567" w:hanging="567"/>
        <w:rPr>
          <w:rFonts w:ascii="Arial" w:hAnsi="Arial" w:cs="Arial"/>
          <w:sz w:val="22"/>
          <w:szCs w:val="22"/>
        </w:rPr>
      </w:pPr>
    </w:p>
    <w:p w14:paraId="02E4F5E9" w14:textId="77777777" w:rsidR="00E17CBF" w:rsidRDefault="00E17CBF" w:rsidP="00FF0686">
      <w:pPr>
        <w:pStyle w:val="ListParagraph"/>
        <w:numPr>
          <w:ilvl w:val="0"/>
          <w:numId w:val="8"/>
        </w:numPr>
        <w:ind w:left="567" w:hanging="567"/>
        <w:rPr>
          <w:rFonts w:ascii="Arial" w:hAnsi="Arial" w:cs="Arial"/>
          <w:sz w:val="22"/>
          <w:szCs w:val="22"/>
        </w:rPr>
      </w:pPr>
      <w:r w:rsidRPr="00A712B1">
        <w:rPr>
          <w:rFonts w:ascii="Arial" w:hAnsi="Arial" w:cs="Arial"/>
          <w:sz w:val="22"/>
          <w:szCs w:val="22"/>
        </w:rPr>
        <w:t>Officers have also met with the British Property Federation, Institute for Chartered Accountants in England and Wales (which has a major work programme on exports), British Chambers of Commerce and Federation of Small Businesses to discuss our future plans and all have indicated that they are keen to engage.  To that end, we are scoping our plans for a</w:t>
      </w:r>
      <w:r w:rsidR="00340A89" w:rsidRPr="00A712B1">
        <w:rPr>
          <w:rFonts w:ascii="Arial" w:hAnsi="Arial" w:cs="Arial"/>
          <w:sz w:val="22"/>
          <w:szCs w:val="22"/>
        </w:rPr>
        <w:t xml:space="preserve"> “deep-dive” event </w:t>
      </w:r>
      <w:r w:rsidRPr="00A712B1">
        <w:rPr>
          <w:rFonts w:ascii="Arial" w:hAnsi="Arial" w:cs="Arial"/>
          <w:sz w:val="22"/>
          <w:szCs w:val="22"/>
        </w:rPr>
        <w:t>to test our proposals with experts in early</w:t>
      </w:r>
      <w:r w:rsidR="00340A89" w:rsidRPr="00A712B1">
        <w:rPr>
          <w:rFonts w:ascii="Arial" w:hAnsi="Arial" w:cs="Arial"/>
          <w:sz w:val="22"/>
          <w:szCs w:val="22"/>
        </w:rPr>
        <w:t xml:space="preserve"> 2015. </w:t>
      </w:r>
    </w:p>
    <w:p w14:paraId="02E4F5EA" w14:textId="77777777" w:rsidR="005D37E0" w:rsidRPr="005D37E0" w:rsidRDefault="005D37E0" w:rsidP="00FF0686">
      <w:pPr>
        <w:ind w:left="567" w:hanging="567"/>
        <w:rPr>
          <w:rFonts w:ascii="Arial" w:hAnsi="Arial" w:cs="Arial"/>
          <w:sz w:val="22"/>
          <w:szCs w:val="22"/>
        </w:rPr>
      </w:pPr>
    </w:p>
    <w:p w14:paraId="02E4F5EB" w14:textId="77777777" w:rsidR="00AD0FA3" w:rsidRPr="007972CF" w:rsidRDefault="00473BB3" w:rsidP="00FF0686">
      <w:pPr>
        <w:pStyle w:val="ListParagraph"/>
        <w:numPr>
          <w:ilvl w:val="0"/>
          <w:numId w:val="8"/>
        </w:numPr>
        <w:ind w:left="567" w:hanging="567"/>
        <w:rPr>
          <w:rFonts w:ascii="Arial" w:hAnsi="Arial" w:cs="Arial"/>
          <w:sz w:val="22"/>
          <w:szCs w:val="22"/>
        </w:rPr>
      </w:pPr>
      <w:r>
        <w:rPr>
          <w:rFonts w:ascii="Arial" w:hAnsi="Arial" w:cs="Arial"/>
          <w:sz w:val="22"/>
          <w:szCs w:val="22"/>
        </w:rPr>
        <w:t xml:space="preserve">In November, we </w:t>
      </w:r>
      <w:r w:rsidR="00E17CBF" w:rsidRPr="007972CF">
        <w:rPr>
          <w:rFonts w:ascii="Arial" w:hAnsi="Arial" w:cs="Arial"/>
          <w:sz w:val="22"/>
          <w:szCs w:val="22"/>
        </w:rPr>
        <w:t>learned that the government contract for regional support on inward investment (currently held by PA Consulting) is be</w:t>
      </w:r>
      <w:r>
        <w:rPr>
          <w:rFonts w:ascii="Arial" w:hAnsi="Arial" w:cs="Arial"/>
          <w:sz w:val="22"/>
          <w:szCs w:val="22"/>
        </w:rPr>
        <w:t>ing</w:t>
      </w:r>
      <w:r w:rsidR="00E17CBF" w:rsidRPr="007972CF">
        <w:rPr>
          <w:rFonts w:ascii="Arial" w:hAnsi="Arial" w:cs="Arial"/>
          <w:sz w:val="22"/>
          <w:szCs w:val="22"/>
        </w:rPr>
        <w:t xml:space="preserve"> r</w:t>
      </w:r>
      <w:r>
        <w:rPr>
          <w:rFonts w:ascii="Arial" w:hAnsi="Arial" w:cs="Arial"/>
          <w:sz w:val="22"/>
          <w:szCs w:val="22"/>
        </w:rPr>
        <w:t>e-tendered</w:t>
      </w:r>
      <w:r w:rsidR="00E17CBF" w:rsidRPr="007972CF">
        <w:rPr>
          <w:rFonts w:ascii="Arial" w:hAnsi="Arial" w:cs="Arial"/>
          <w:sz w:val="22"/>
          <w:szCs w:val="22"/>
        </w:rPr>
        <w:t xml:space="preserve">.  </w:t>
      </w:r>
      <w:r>
        <w:rPr>
          <w:rFonts w:ascii="Arial" w:hAnsi="Arial" w:cs="Arial"/>
          <w:sz w:val="22"/>
          <w:szCs w:val="22"/>
        </w:rPr>
        <w:t xml:space="preserve">Officers </w:t>
      </w:r>
      <w:r w:rsidR="00E17CBF" w:rsidRPr="007972CF">
        <w:rPr>
          <w:rFonts w:ascii="Arial" w:hAnsi="Arial" w:cs="Arial"/>
          <w:sz w:val="22"/>
          <w:szCs w:val="22"/>
        </w:rPr>
        <w:t xml:space="preserve">have </w:t>
      </w:r>
      <w:r w:rsidR="007972CF" w:rsidRPr="007972CF">
        <w:rPr>
          <w:rFonts w:ascii="Arial" w:hAnsi="Arial" w:cs="Arial"/>
          <w:sz w:val="22"/>
          <w:szCs w:val="22"/>
        </w:rPr>
        <w:t>met</w:t>
      </w:r>
      <w:r w:rsidR="00E17CBF" w:rsidRPr="007972CF">
        <w:rPr>
          <w:rFonts w:ascii="Arial" w:hAnsi="Arial" w:cs="Arial"/>
          <w:sz w:val="22"/>
          <w:szCs w:val="22"/>
        </w:rPr>
        <w:t xml:space="preserve"> with the UKTI officials leading the tendering exercise to ensure that the needs and views of city regions are properly taken into account in the decision-making process.  </w:t>
      </w:r>
      <w:r>
        <w:rPr>
          <w:rFonts w:ascii="Arial" w:hAnsi="Arial" w:cs="Arial"/>
          <w:sz w:val="22"/>
          <w:szCs w:val="22"/>
        </w:rPr>
        <w:t>Following that meeting, officials have approached us to do some joint work highlighting success stories in attracting inward investment to the UK.  We are also in the process of seeking a meeting with lead officials on export policy at UKTI.</w:t>
      </w:r>
    </w:p>
    <w:sectPr w:rsidR="00AD0FA3" w:rsidRPr="007972CF">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58B41" w14:textId="77777777" w:rsidR="00BD318A" w:rsidRDefault="00BD318A" w:rsidP="00C108A9">
      <w:r>
        <w:separator/>
      </w:r>
    </w:p>
  </w:endnote>
  <w:endnote w:type="continuationSeparator" w:id="0">
    <w:p w14:paraId="30B00C66" w14:textId="77777777" w:rsidR="00BD318A" w:rsidRDefault="00BD318A" w:rsidP="00C1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C8AF" w14:textId="77777777" w:rsidR="00BD318A" w:rsidRDefault="00BD318A" w:rsidP="00C108A9">
      <w:r>
        <w:separator/>
      </w:r>
    </w:p>
  </w:footnote>
  <w:footnote w:type="continuationSeparator" w:id="0">
    <w:p w14:paraId="1FB0FC37" w14:textId="77777777" w:rsidR="00BD318A" w:rsidRDefault="00BD318A" w:rsidP="00C108A9">
      <w:r>
        <w:continuationSeparator/>
      </w:r>
    </w:p>
  </w:footnote>
  <w:footnote w:id="1">
    <w:p w14:paraId="4468BBE4" w14:textId="71134CEE" w:rsidR="00D91B6F" w:rsidRDefault="00D91B6F">
      <w:pPr>
        <w:pStyle w:val="FootnoteText"/>
      </w:pPr>
      <w:r>
        <w:rPr>
          <w:rStyle w:val="FootnoteReference"/>
        </w:rPr>
        <w:footnoteRef/>
      </w:r>
      <w:r>
        <w:t xml:space="preserve"> </w:t>
      </w:r>
      <w:hyperlink r:id="rId1" w:history="1">
        <w:r w:rsidRPr="002A0C3F">
          <w:rPr>
            <w:rStyle w:val="Hyperlink"/>
          </w:rPr>
          <w:t>https://www.gov.uk/government/consultations/proposal-to-use-a-legislative-reform-order-in-forming-a-combined-authority-or-economic-prosperity-board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92"/>
      <w:gridCol w:w="3230"/>
    </w:tblGrid>
    <w:tr w:rsidR="00BF6530" w14:paraId="02E4F602" w14:textId="77777777" w:rsidTr="00BF6530">
      <w:tc>
        <w:tcPr>
          <w:tcW w:w="5778" w:type="dxa"/>
          <w:vMerge w:val="restart"/>
          <w:hideMark/>
        </w:tcPr>
        <w:p w14:paraId="02E4F5FB" w14:textId="77777777" w:rsidR="00BF6530" w:rsidRDefault="00BF6530">
          <w:pPr>
            <w:pStyle w:val="Header"/>
            <w:rPr>
              <w:szCs w:val="22"/>
            </w:rPr>
          </w:pPr>
          <w:r>
            <w:rPr>
              <w:rFonts w:ascii="Arial" w:hAnsi="Arial" w:cs="Arial"/>
              <w:noProof/>
              <w:szCs w:val="22"/>
            </w:rPr>
            <w:drawing>
              <wp:inline distT="0" distB="0" distL="0" distR="0" wp14:anchorId="02E4F607" wp14:editId="02E4F608">
                <wp:extent cx="1089025" cy="643890"/>
                <wp:effectExtent l="0" t="0" r="0" b="381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643890"/>
                        </a:xfrm>
                        <a:prstGeom prst="rect">
                          <a:avLst/>
                        </a:prstGeom>
                        <a:noFill/>
                        <a:ln>
                          <a:noFill/>
                        </a:ln>
                      </pic:spPr>
                    </pic:pic>
                  </a:graphicData>
                </a:graphic>
              </wp:inline>
            </w:drawing>
          </w:r>
        </w:p>
      </w:tc>
      <w:tc>
        <w:tcPr>
          <w:tcW w:w="3509" w:type="dxa"/>
          <w:hideMark/>
        </w:tcPr>
        <w:p w14:paraId="42B29BA7" w14:textId="77777777" w:rsidR="00FF0686" w:rsidRDefault="00FF0686"/>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4"/>
          </w:tblGrid>
          <w:tr w:rsidR="00BF6530" w14:paraId="02E4F5FE" w14:textId="77777777" w:rsidTr="00FF0686">
            <w:tc>
              <w:tcPr>
                <w:tcW w:w="3014" w:type="dxa"/>
                <w:hideMark/>
              </w:tcPr>
              <w:p w14:paraId="02E4F5FD" w14:textId="6F1D8305" w:rsidR="00BF6530" w:rsidRPr="00E035F3" w:rsidRDefault="00BF6530">
                <w:pPr>
                  <w:pStyle w:val="Header"/>
                  <w:rPr>
                    <w:rFonts w:ascii="Arial" w:hAnsi="Arial" w:cs="Arial"/>
                    <w:b/>
                    <w:sz w:val="22"/>
                    <w:szCs w:val="22"/>
                  </w:rPr>
                </w:pPr>
                <w:r w:rsidRPr="007E26EC">
                  <w:rPr>
                    <w:rFonts w:ascii="Arial" w:hAnsi="Arial" w:cs="Arial"/>
                    <w:b/>
                    <w:sz w:val="22"/>
                    <w:szCs w:val="22"/>
                  </w:rPr>
                  <w:t xml:space="preserve">City Regions Board </w:t>
                </w:r>
              </w:p>
            </w:tc>
          </w:tr>
          <w:tr w:rsidR="00BF6530" w14:paraId="02E4F600" w14:textId="77777777" w:rsidTr="00FF0686">
            <w:trPr>
              <w:trHeight w:val="450"/>
            </w:trPr>
            <w:tc>
              <w:tcPr>
                <w:tcW w:w="3014" w:type="dxa"/>
                <w:hideMark/>
              </w:tcPr>
              <w:p w14:paraId="02E4F5FF" w14:textId="77777777" w:rsidR="00BF6530" w:rsidRPr="007E26EC" w:rsidRDefault="00306DD4" w:rsidP="00BF6530">
                <w:pPr>
                  <w:pStyle w:val="Header"/>
                  <w:spacing w:before="60"/>
                  <w:rPr>
                    <w:sz w:val="22"/>
                    <w:szCs w:val="22"/>
                  </w:rPr>
                </w:pPr>
                <w:r>
                  <w:rPr>
                    <w:rFonts w:ascii="Arial" w:hAnsi="Arial" w:cs="Arial"/>
                    <w:sz w:val="22"/>
                    <w:szCs w:val="22"/>
                  </w:rPr>
                  <w:t>19 January 2015</w:t>
                </w:r>
                <w:r w:rsidR="00BF6530" w:rsidRPr="007E26EC">
                  <w:rPr>
                    <w:rFonts w:ascii="Arial" w:hAnsi="Arial" w:cs="Arial"/>
                    <w:sz w:val="22"/>
                    <w:szCs w:val="22"/>
                  </w:rPr>
                  <w:t xml:space="preserve"> </w:t>
                </w:r>
              </w:p>
            </w:tc>
          </w:tr>
        </w:tbl>
        <w:p w14:paraId="02E4F601" w14:textId="77777777" w:rsidR="00BF6530" w:rsidRDefault="00BF6530">
          <w:pPr>
            <w:pStyle w:val="Header"/>
            <w:rPr>
              <w:b/>
              <w:szCs w:val="22"/>
            </w:rPr>
          </w:pPr>
        </w:p>
      </w:tc>
    </w:tr>
    <w:tr w:rsidR="00BF6530" w14:paraId="02E4F605" w14:textId="77777777" w:rsidTr="00BF6530">
      <w:trPr>
        <w:trHeight w:val="450"/>
      </w:trPr>
      <w:tc>
        <w:tcPr>
          <w:tcW w:w="0" w:type="auto"/>
          <w:vMerge/>
          <w:vAlign w:val="center"/>
          <w:hideMark/>
        </w:tcPr>
        <w:p w14:paraId="02E4F603" w14:textId="77777777" w:rsidR="00BF6530" w:rsidRDefault="00BF6530">
          <w:pPr>
            <w:rPr>
              <w:rFonts w:ascii="Frutiger 45 Light" w:hAnsi="Frutiger 45 Light"/>
              <w:sz w:val="22"/>
              <w:szCs w:val="22"/>
            </w:rPr>
          </w:pPr>
        </w:p>
      </w:tc>
      <w:tc>
        <w:tcPr>
          <w:tcW w:w="3509" w:type="dxa"/>
          <w:vAlign w:val="bottom"/>
        </w:tcPr>
        <w:p w14:paraId="02E4F604" w14:textId="77777777" w:rsidR="00BF6530" w:rsidRDefault="00BF6530">
          <w:pPr>
            <w:pStyle w:val="Header"/>
            <w:spacing w:before="60"/>
            <w:rPr>
              <w:rFonts w:ascii="Arial" w:hAnsi="Arial" w:cs="Arial"/>
              <w:b/>
              <w:szCs w:val="22"/>
            </w:rPr>
          </w:pPr>
        </w:p>
      </w:tc>
    </w:tr>
  </w:tbl>
  <w:p w14:paraId="02E4F606" w14:textId="77777777" w:rsidR="00017B3D" w:rsidRDefault="0001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145"/>
    <w:multiLevelType w:val="hybridMultilevel"/>
    <w:tmpl w:val="19A88D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7E7D5F"/>
    <w:multiLevelType w:val="hybridMultilevel"/>
    <w:tmpl w:val="04E2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C5568"/>
    <w:multiLevelType w:val="hybridMultilevel"/>
    <w:tmpl w:val="962ED9A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9F17D0"/>
    <w:multiLevelType w:val="hybridMultilevel"/>
    <w:tmpl w:val="85AA62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A45BE8"/>
    <w:multiLevelType w:val="hybridMultilevel"/>
    <w:tmpl w:val="9FCE2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A530F"/>
    <w:multiLevelType w:val="hybridMultilevel"/>
    <w:tmpl w:val="71FA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7200F8"/>
    <w:multiLevelType w:val="hybridMultilevel"/>
    <w:tmpl w:val="D048E00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3E00E7"/>
    <w:multiLevelType w:val="hybridMultilevel"/>
    <w:tmpl w:val="BB50852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9">
    <w:nsid w:val="5A757C84"/>
    <w:multiLevelType w:val="hybridMultilevel"/>
    <w:tmpl w:val="7048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76FF6"/>
    <w:multiLevelType w:val="hybridMultilevel"/>
    <w:tmpl w:val="F68A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324A3"/>
    <w:multiLevelType w:val="hybridMultilevel"/>
    <w:tmpl w:val="8A2C1F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F83C21"/>
    <w:multiLevelType w:val="hybridMultilevel"/>
    <w:tmpl w:val="DCDEA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E45356"/>
    <w:multiLevelType w:val="hybridMultilevel"/>
    <w:tmpl w:val="BF9E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6463E0"/>
    <w:multiLevelType w:val="hybridMultilevel"/>
    <w:tmpl w:val="89C86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0"/>
  </w:num>
  <w:num w:numId="5">
    <w:abstractNumId w:val="5"/>
  </w:num>
  <w:num w:numId="6">
    <w:abstractNumId w:val="1"/>
  </w:num>
  <w:num w:numId="7">
    <w:abstractNumId w:val="14"/>
  </w:num>
  <w:num w:numId="8">
    <w:abstractNumId w:val="4"/>
  </w:num>
  <w:num w:numId="9">
    <w:abstractNumId w:val="12"/>
  </w:num>
  <w:num w:numId="10">
    <w:abstractNumId w:val="8"/>
  </w:num>
  <w:num w:numId="11">
    <w:abstractNumId w:val="13"/>
  </w:num>
  <w:num w:numId="12">
    <w:abstractNumId w:val="2"/>
  </w:num>
  <w:num w:numId="13">
    <w:abstractNumId w:val="7"/>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5B"/>
    <w:rsid w:val="00000AA6"/>
    <w:rsid w:val="000042A6"/>
    <w:rsid w:val="00017B3D"/>
    <w:rsid w:val="00022C7C"/>
    <w:rsid w:val="000A2BAA"/>
    <w:rsid w:val="000F3D6C"/>
    <w:rsid w:val="00103F20"/>
    <w:rsid w:val="001375C0"/>
    <w:rsid w:val="00153AFA"/>
    <w:rsid w:val="001B4C28"/>
    <w:rsid w:val="002527E8"/>
    <w:rsid w:val="00266303"/>
    <w:rsid w:val="00266C04"/>
    <w:rsid w:val="00287602"/>
    <w:rsid w:val="002B0FB7"/>
    <w:rsid w:val="00306DD4"/>
    <w:rsid w:val="00340A89"/>
    <w:rsid w:val="003655D4"/>
    <w:rsid w:val="004223A7"/>
    <w:rsid w:val="00442787"/>
    <w:rsid w:val="00455300"/>
    <w:rsid w:val="004639A2"/>
    <w:rsid w:val="00473BB3"/>
    <w:rsid w:val="00487B0D"/>
    <w:rsid w:val="004951CD"/>
    <w:rsid w:val="004A400C"/>
    <w:rsid w:val="004F7853"/>
    <w:rsid w:val="0055754A"/>
    <w:rsid w:val="00576170"/>
    <w:rsid w:val="005959B7"/>
    <w:rsid w:val="005A75DB"/>
    <w:rsid w:val="005B394D"/>
    <w:rsid w:val="005C3D31"/>
    <w:rsid w:val="005D37E0"/>
    <w:rsid w:val="005D516A"/>
    <w:rsid w:val="005E441E"/>
    <w:rsid w:val="006540E5"/>
    <w:rsid w:val="006665A9"/>
    <w:rsid w:val="00670F1A"/>
    <w:rsid w:val="00674DF2"/>
    <w:rsid w:val="006F0D67"/>
    <w:rsid w:val="00761F90"/>
    <w:rsid w:val="0079040A"/>
    <w:rsid w:val="007972CF"/>
    <w:rsid w:val="007E26EC"/>
    <w:rsid w:val="008339F6"/>
    <w:rsid w:val="008F78D8"/>
    <w:rsid w:val="00901554"/>
    <w:rsid w:val="00916262"/>
    <w:rsid w:val="00930F61"/>
    <w:rsid w:val="0093582A"/>
    <w:rsid w:val="0097565A"/>
    <w:rsid w:val="00977CA2"/>
    <w:rsid w:val="00977FC2"/>
    <w:rsid w:val="009C4A32"/>
    <w:rsid w:val="009E5EED"/>
    <w:rsid w:val="00A03882"/>
    <w:rsid w:val="00A04ABE"/>
    <w:rsid w:val="00A15B6D"/>
    <w:rsid w:val="00A27F4A"/>
    <w:rsid w:val="00A712B1"/>
    <w:rsid w:val="00A763C2"/>
    <w:rsid w:val="00AC4710"/>
    <w:rsid w:val="00AD0FA3"/>
    <w:rsid w:val="00AD3920"/>
    <w:rsid w:val="00B053E7"/>
    <w:rsid w:val="00B765CD"/>
    <w:rsid w:val="00B97A3D"/>
    <w:rsid w:val="00BD318A"/>
    <w:rsid w:val="00BD65DC"/>
    <w:rsid w:val="00BD7DBD"/>
    <w:rsid w:val="00BF0369"/>
    <w:rsid w:val="00BF0786"/>
    <w:rsid w:val="00BF6530"/>
    <w:rsid w:val="00C108A9"/>
    <w:rsid w:val="00C2577B"/>
    <w:rsid w:val="00C3647A"/>
    <w:rsid w:val="00C70C7B"/>
    <w:rsid w:val="00CC061B"/>
    <w:rsid w:val="00D2310D"/>
    <w:rsid w:val="00D45B51"/>
    <w:rsid w:val="00D87F6B"/>
    <w:rsid w:val="00D91B6F"/>
    <w:rsid w:val="00E035F3"/>
    <w:rsid w:val="00E101C7"/>
    <w:rsid w:val="00E17CBF"/>
    <w:rsid w:val="00E32D5B"/>
    <w:rsid w:val="00E63443"/>
    <w:rsid w:val="00E8420B"/>
    <w:rsid w:val="00E94219"/>
    <w:rsid w:val="00EB49D4"/>
    <w:rsid w:val="00EE3E2B"/>
    <w:rsid w:val="00EE789B"/>
    <w:rsid w:val="00F76364"/>
    <w:rsid w:val="00FF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E4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5B"/>
    <w:pPr>
      <w:ind w:left="720"/>
      <w:contextualSpacing/>
    </w:pPr>
  </w:style>
  <w:style w:type="paragraph" w:styleId="FootnoteText">
    <w:name w:val="footnote text"/>
    <w:basedOn w:val="Normal"/>
    <w:link w:val="FootnoteTextChar"/>
    <w:rsid w:val="00C108A9"/>
    <w:rPr>
      <w:sz w:val="20"/>
      <w:szCs w:val="20"/>
    </w:rPr>
  </w:style>
  <w:style w:type="character" w:customStyle="1" w:styleId="FootnoteTextChar">
    <w:name w:val="Footnote Text Char"/>
    <w:basedOn w:val="DefaultParagraphFont"/>
    <w:link w:val="FootnoteText"/>
    <w:rsid w:val="00C108A9"/>
  </w:style>
  <w:style w:type="character" w:styleId="FootnoteReference">
    <w:name w:val="footnote reference"/>
    <w:basedOn w:val="DefaultParagraphFont"/>
    <w:rsid w:val="00C108A9"/>
    <w:rPr>
      <w:vertAlign w:val="superscript"/>
    </w:rPr>
  </w:style>
  <w:style w:type="paragraph" w:styleId="BalloonText">
    <w:name w:val="Balloon Text"/>
    <w:basedOn w:val="Normal"/>
    <w:link w:val="BalloonTextChar"/>
    <w:rsid w:val="00CC061B"/>
    <w:rPr>
      <w:rFonts w:ascii="Tahoma" w:hAnsi="Tahoma" w:cs="Tahoma"/>
      <w:sz w:val="16"/>
      <w:szCs w:val="16"/>
    </w:rPr>
  </w:style>
  <w:style w:type="character" w:customStyle="1" w:styleId="BalloonTextChar">
    <w:name w:val="Balloon Text Char"/>
    <w:basedOn w:val="DefaultParagraphFont"/>
    <w:link w:val="BalloonText"/>
    <w:rsid w:val="00CC061B"/>
    <w:rPr>
      <w:rFonts w:ascii="Tahoma" w:hAnsi="Tahoma" w:cs="Tahoma"/>
      <w:sz w:val="16"/>
      <w:szCs w:val="16"/>
    </w:rPr>
  </w:style>
  <w:style w:type="paragraph" w:styleId="Header">
    <w:name w:val="header"/>
    <w:basedOn w:val="Normal"/>
    <w:link w:val="HeaderChar"/>
    <w:rsid w:val="00017B3D"/>
    <w:pPr>
      <w:tabs>
        <w:tab w:val="center" w:pos="4513"/>
        <w:tab w:val="right" w:pos="9026"/>
      </w:tabs>
    </w:pPr>
  </w:style>
  <w:style w:type="character" w:customStyle="1" w:styleId="HeaderChar">
    <w:name w:val="Header Char"/>
    <w:basedOn w:val="DefaultParagraphFont"/>
    <w:link w:val="Header"/>
    <w:rsid w:val="00017B3D"/>
    <w:rPr>
      <w:sz w:val="24"/>
      <w:szCs w:val="24"/>
    </w:rPr>
  </w:style>
  <w:style w:type="paragraph" w:styleId="Footer">
    <w:name w:val="footer"/>
    <w:basedOn w:val="Normal"/>
    <w:link w:val="FooterChar"/>
    <w:rsid w:val="00017B3D"/>
    <w:pPr>
      <w:tabs>
        <w:tab w:val="center" w:pos="4513"/>
        <w:tab w:val="right" w:pos="9026"/>
      </w:tabs>
    </w:pPr>
  </w:style>
  <w:style w:type="character" w:customStyle="1" w:styleId="FooterChar">
    <w:name w:val="Footer Char"/>
    <w:basedOn w:val="DefaultParagraphFont"/>
    <w:link w:val="Footer"/>
    <w:rsid w:val="00017B3D"/>
    <w:rPr>
      <w:sz w:val="24"/>
      <w:szCs w:val="24"/>
    </w:rPr>
  </w:style>
  <w:style w:type="character" w:styleId="Hyperlink">
    <w:name w:val="Hyperlink"/>
    <w:basedOn w:val="DefaultParagraphFont"/>
    <w:rsid w:val="004951CD"/>
    <w:rPr>
      <w:color w:val="0000FF" w:themeColor="hyperlink"/>
      <w:u w:val="single"/>
    </w:rPr>
  </w:style>
  <w:style w:type="table" w:styleId="TableGrid">
    <w:name w:val="Table Grid"/>
    <w:basedOn w:val="TableNormal"/>
    <w:rsid w:val="00BF65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BF6530"/>
    <w:pPr>
      <w:spacing w:line="280" w:lineRule="exact"/>
    </w:pPr>
    <w:rPr>
      <w:rFonts w:ascii="Frutiger 45 Light" w:hAnsi="Frutiger 45 Light"/>
      <w:sz w:val="22"/>
      <w:szCs w:val="20"/>
    </w:rPr>
  </w:style>
  <w:style w:type="paragraph" w:styleId="EndnoteText">
    <w:name w:val="endnote text"/>
    <w:basedOn w:val="Normal"/>
    <w:link w:val="EndnoteTextChar"/>
    <w:rsid w:val="00D91B6F"/>
    <w:rPr>
      <w:sz w:val="20"/>
      <w:szCs w:val="20"/>
    </w:rPr>
  </w:style>
  <w:style w:type="character" w:customStyle="1" w:styleId="EndnoteTextChar">
    <w:name w:val="Endnote Text Char"/>
    <w:basedOn w:val="DefaultParagraphFont"/>
    <w:link w:val="EndnoteText"/>
    <w:rsid w:val="00D91B6F"/>
  </w:style>
  <w:style w:type="character" w:styleId="EndnoteReference">
    <w:name w:val="endnote reference"/>
    <w:basedOn w:val="DefaultParagraphFont"/>
    <w:rsid w:val="00D91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5B"/>
    <w:pPr>
      <w:ind w:left="720"/>
      <w:contextualSpacing/>
    </w:pPr>
  </w:style>
  <w:style w:type="paragraph" w:styleId="FootnoteText">
    <w:name w:val="footnote text"/>
    <w:basedOn w:val="Normal"/>
    <w:link w:val="FootnoteTextChar"/>
    <w:rsid w:val="00C108A9"/>
    <w:rPr>
      <w:sz w:val="20"/>
      <w:szCs w:val="20"/>
    </w:rPr>
  </w:style>
  <w:style w:type="character" w:customStyle="1" w:styleId="FootnoteTextChar">
    <w:name w:val="Footnote Text Char"/>
    <w:basedOn w:val="DefaultParagraphFont"/>
    <w:link w:val="FootnoteText"/>
    <w:rsid w:val="00C108A9"/>
  </w:style>
  <w:style w:type="character" w:styleId="FootnoteReference">
    <w:name w:val="footnote reference"/>
    <w:basedOn w:val="DefaultParagraphFont"/>
    <w:rsid w:val="00C108A9"/>
    <w:rPr>
      <w:vertAlign w:val="superscript"/>
    </w:rPr>
  </w:style>
  <w:style w:type="paragraph" w:styleId="BalloonText">
    <w:name w:val="Balloon Text"/>
    <w:basedOn w:val="Normal"/>
    <w:link w:val="BalloonTextChar"/>
    <w:rsid w:val="00CC061B"/>
    <w:rPr>
      <w:rFonts w:ascii="Tahoma" w:hAnsi="Tahoma" w:cs="Tahoma"/>
      <w:sz w:val="16"/>
      <w:szCs w:val="16"/>
    </w:rPr>
  </w:style>
  <w:style w:type="character" w:customStyle="1" w:styleId="BalloonTextChar">
    <w:name w:val="Balloon Text Char"/>
    <w:basedOn w:val="DefaultParagraphFont"/>
    <w:link w:val="BalloonText"/>
    <w:rsid w:val="00CC061B"/>
    <w:rPr>
      <w:rFonts w:ascii="Tahoma" w:hAnsi="Tahoma" w:cs="Tahoma"/>
      <w:sz w:val="16"/>
      <w:szCs w:val="16"/>
    </w:rPr>
  </w:style>
  <w:style w:type="paragraph" w:styleId="Header">
    <w:name w:val="header"/>
    <w:basedOn w:val="Normal"/>
    <w:link w:val="HeaderChar"/>
    <w:rsid w:val="00017B3D"/>
    <w:pPr>
      <w:tabs>
        <w:tab w:val="center" w:pos="4513"/>
        <w:tab w:val="right" w:pos="9026"/>
      </w:tabs>
    </w:pPr>
  </w:style>
  <w:style w:type="character" w:customStyle="1" w:styleId="HeaderChar">
    <w:name w:val="Header Char"/>
    <w:basedOn w:val="DefaultParagraphFont"/>
    <w:link w:val="Header"/>
    <w:rsid w:val="00017B3D"/>
    <w:rPr>
      <w:sz w:val="24"/>
      <w:szCs w:val="24"/>
    </w:rPr>
  </w:style>
  <w:style w:type="paragraph" w:styleId="Footer">
    <w:name w:val="footer"/>
    <w:basedOn w:val="Normal"/>
    <w:link w:val="FooterChar"/>
    <w:rsid w:val="00017B3D"/>
    <w:pPr>
      <w:tabs>
        <w:tab w:val="center" w:pos="4513"/>
        <w:tab w:val="right" w:pos="9026"/>
      </w:tabs>
    </w:pPr>
  </w:style>
  <w:style w:type="character" w:customStyle="1" w:styleId="FooterChar">
    <w:name w:val="Footer Char"/>
    <w:basedOn w:val="DefaultParagraphFont"/>
    <w:link w:val="Footer"/>
    <w:rsid w:val="00017B3D"/>
    <w:rPr>
      <w:sz w:val="24"/>
      <w:szCs w:val="24"/>
    </w:rPr>
  </w:style>
  <w:style w:type="character" w:styleId="Hyperlink">
    <w:name w:val="Hyperlink"/>
    <w:basedOn w:val="DefaultParagraphFont"/>
    <w:rsid w:val="004951CD"/>
    <w:rPr>
      <w:color w:val="0000FF" w:themeColor="hyperlink"/>
      <w:u w:val="single"/>
    </w:rPr>
  </w:style>
  <w:style w:type="table" w:styleId="TableGrid">
    <w:name w:val="Table Grid"/>
    <w:basedOn w:val="TableNormal"/>
    <w:rsid w:val="00BF65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BF6530"/>
    <w:pPr>
      <w:spacing w:line="280" w:lineRule="exact"/>
    </w:pPr>
    <w:rPr>
      <w:rFonts w:ascii="Frutiger 45 Light" w:hAnsi="Frutiger 45 Light"/>
      <w:sz w:val="22"/>
      <w:szCs w:val="20"/>
    </w:rPr>
  </w:style>
  <w:style w:type="paragraph" w:styleId="EndnoteText">
    <w:name w:val="endnote text"/>
    <w:basedOn w:val="Normal"/>
    <w:link w:val="EndnoteTextChar"/>
    <w:rsid w:val="00D91B6F"/>
    <w:rPr>
      <w:sz w:val="20"/>
      <w:szCs w:val="20"/>
    </w:rPr>
  </w:style>
  <w:style w:type="character" w:customStyle="1" w:styleId="EndnoteTextChar">
    <w:name w:val="Endnote Text Char"/>
    <w:basedOn w:val="DefaultParagraphFont"/>
    <w:link w:val="EndnoteText"/>
    <w:rsid w:val="00D91B6F"/>
  </w:style>
  <w:style w:type="character" w:styleId="EndnoteReference">
    <w:name w:val="endnote reference"/>
    <w:basedOn w:val="DefaultParagraphFont"/>
    <w:rsid w:val="00D91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1929">
      <w:bodyDiv w:val="1"/>
      <w:marLeft w:val="0"/>
      <w:marRight w:val="0"/>
      <w:marTop w:val="0"/>
      <w:marBottom w:val="0"/>
      <w:divBdr>
        <w:top w:val="none" w:sz="0" w:space="0" w:color="auto"/>
        <w:left w:val="none" w:sz="0" w:space="0" w:color="auto"/>
        <w:bottom w:val="none" w:sz="0" w:space="0" w:color="auto"/>
        <w:right w:val="none" w:sz="0" w:space="0" w:color="auto"/>
      </w:divBdr>
    </w:div>
    <w:div w:id="396126230">
      <w:bodyDiv w:val="1"/>
      <w:marLeft w:val="0"/>
      <w:marRight w:val="0"/>
      <w:marTop w:val="0"/>
      <w:marBottom w:val="0"/>
      <w:divBdr>
        <w:top w:val="none" w:sz="0" w:space="0" w:color="auto"/>
        <w:left w:val="none" w:sz="0" w:space="0" w:color="auto"/>
        <w:bottom w:val="none" w:sz="0" w:space="0" w:color="auto"/>
        <w:right w:val="none" w:sz="0" w:space="0" w:color="auto"/>
      </w:divBdr>
    </w:div>
    <w:div w:id="449202167">
      <w:bodyDiv w:val="1"/>
      <w:marLeft w:val="0"/>
      <w:marRight w:val="0"/>
      <w:marTop w:val="0"/>
      <w:marBottom w:val="0"/>
      <w:divBdr>
        <w:top w:val="none" w:sz="0" w:space="0" w:color="auto"/>
        <w:left w:val="none" w:sz="0" w:space="0" w:color="auto"/>
        <w:bottom w:val="none" w:sz="0" w:space="0" w:color="auto"/>
        <w:right w:val="none" w:sz="0" w:space="0" w:color="auto"/>
      </w:divBdr>
    </w:div>
    <w:div w:id="1307247686">
      <w:bodyDiv w:val="1"/>
      <w:marLeft w:val="0"/>
      <w:marRight w:val="0"/>
      <w:marTop w:val="0"/>
      <w:marBottom w:val="0"/>
      <w:divBdr>
        <w:top w:val="none" w:sz="0" w:space="0" w:color="auto"/>
        <w:left w:val="none" w:sz="0" w:space="0" w:color="auto"/>
        <w:bottom w:val="none" w:sz="0" w:space="0" w:color="auto"/>
        <w:right w:val="none" w:sz="0" w:space="0" w:color="auto"/>
      </w:divBdr>
    </w:div>
    <w:div w:id="1597522757">
      <w:bodyDiv w:val="1"/>
      <w:marLeft w:val="0"/>
      <w:marRight w:val="0"/>
      <w:marTop w:val="0"/>
      <w:marBottom w:val="0"/>
      <w:divBdr>
        <w:top w:val="none" w:sz="0" w:space="0" w:color="auto"/>
        <w:left w:val="none" w:sz="0" w:space="0" w:color="auto"/>
        <w:bottom w:val="none" w:sz="0" w:space="0" w:color="auto"/>
        <w:right w:val="none" w:sz="0" w:space="0" w:color="auto"/>
      </w:divBdr>
    </w:div>
    <w:div w:id="19066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an.Hughes@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proposal-to-use-a-legislative-reform-order-in-forming-a-combined-authority-or-economic-prosperity-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AF9D3B4CD624E895A1FD90C094582" ma:contentTypeVersion="0" ma:contentTypeDescription="Create a new document." ma:contentTypeScope="" ma:versionID="1887241acb33d8257bee477d1f168bd3">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ermInfo xmlns="http://schemas.microsoft.com/office/infopath/2007/PartnerControls">
          <TermName xmlns="http://schemas.microsoft.com/office/infopath/2007/PartnerControls">City Regions Board</TermName>
          <TermId xmlns="http://schemas.microsoft.com/office/infopath/2007/PartnerControls">2d05c8fd-0e8a-449c-9cfe-bd5c42729d93</TermId>
        </TermInfo>
      </Terms>
    </TaxKeywordTaxHTField>
    <Folder xmlns="1c8a0e75-f4bc-4eb4-8ed0-578eaea9e1ca">Shared Documents</Folder>
    <Document_x0020_Type xmlns="1c8a0e75-f4bc-4eb4-8ed0-578eaea9e1ca">Paper</Document_x0020_Type>
    <TaxCatchAll xmlns="1c8a0e75-f4bc-4eb4-8ed0-578eaea9e1ca">
      <Value>271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CE43-F5D3-4BE8-A7DB-55677EB4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1B006-001D-4DC6-841F-65CCF1A4562A}">
  <ds:schemaRefs>
    <ds:schemaRef ds:uri="http://schemas.microsoft.com/sharepoint/v3/contenttype/forms"/>
  </ds:schemaRefs>
</ds:datastoreItem>
</file>

<file path=customXml/itemProps3.xml><?xml version="1.0" encoding="utf-8"?>
<ds:datastoreItem xmlns:ds="http://schemas.openxmlformats.org/officeDocument/2006/customXml" ds:itemID="{E3F2D411-915E-469C-944C-C81FBA3B486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1c8a0e75-f4bc-4eb4-8ed0-578eaea9e1ca"/>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AF49477-D961-4F4E-8B9B-9CC8B20B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Update on work programme</vt:lpstr>
    </vt:vector>
  </TitlesOfParts>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work programme</dc:title>
  <dc:creator/>
  <cp:keywords>City Regions Board</cp:keywords>
  <cp:lastModifiedBy/>
  <cp:revision>1</cp:revision>
  <dcterms:created xsi:type="dcterms:W3CDTF">2015-01-07T12:26:00Z</dcterms:created>
  <dcterms:modified xsi:type="dcterms:W3CDTF">2015-01-09T12:22:00Z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0x010100D4FAF9D3B4CD624E895A1FD90C094582</vt:lpwstr>
  </op:property>
  <op:property fmtid="{D5CDD505-2E9C-101B-9397-08002B2CF9AE}" pid="3" name="TaxKeyword">
    <vt:lpwstr>271;#City Regions Board|2d05c8fd-0e8a-449c-9cfe-bd5c42729d93</vt:lpwstr>
  </op:property>
  <op:property fmtid="{D5CDD505-2E9C-101B-9397-08002B2CF9AE}" pid="4" name="WorkflowChangePath">
    <vt:lpwstr>1a88a9f2-0b52-427d-b7b8-2d52518b9c77,3;</vt:lpwstr>
  </op:property>
  <op:property fmtid="{D5CDD505-2E9C-101B-9397-08002B2CF9AE}" pid="5" name="Title">
    <vt:lpwstr>150119 Update on work programme_DRAFT</vt:lpwstr>
  </op:property>
  <op:property fmtid="{D5CDD505-2E9C-101B-9397-08002B2CF9AE}" pid="6" name="Keywords">
    <vt:lpwstr>Council meetings;Government, politics and public administration; Local government; Decision making; Council meetings;</vt:lpwstr>
  </op:property>
  <op:property fmtid="{D5CDD505-2E9C-101B-9397-08002B2CF9AE}" pid="7" name="Author">
    <vt:lpwstr>Your council</vt:lpwstr>
  </op:property>
</op:Properties>
</file>